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EE6D76">
      <w:pPr>
        <w:keepLines w:val="0"/>
        <w:pageBreakBefore w:val="0"/>
        <w:wordWrap/>
        <w:overflowPunct/>
        <w:topLinePunct w:val="0"/>
        <w:bidi w:val="0"/>
        <w:spacing w:line="360" w:lineRule="auto"/>
        <w:jc w:val="center"/>
        <w:rPr>
          <w:rFonts w:hint="eastAsia" w:ascii="黑体" w:hAnsi="黑体" w:eastAsia="黑体"/>
          <w:sz w:val="32"/>
          <w:szCs w:val="32"/>
          <w:lang w:val="en-US" w:eastAsia="zh-CN"/>
        </w:rPr>
      </w:pPr>
      <w:r>
        <w:rPr>
          <w:rFonts w:hint="eastAsia" w:ascii="黑体" w:hAnsi="黑体" w:eastAsia="黑体"/>
          <w:sz w:val="32"/>
          <w:szCs w:val="32"/>
          <w:lang w:val="en-US" w:eastAsia="zh-CN"/>
        </w:rPr>
        <w:t>《稳定性肥料》国家标准（修订）编制说明</w:t>
      </w:r>
    </w:p>
    <w:p w14:paraId="34FB09B3">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rPr>
          <w:rFonts w:ascii="黑体" w:hAnsi="黑体" w:eastAsia="黑体"/>
          <w:sz w:val="28"/>
          <w:szCs w:val="21"/>
        </w:rPr>
      </w:pPr>
      <w:r>
        <w:rPr>
          <w:rFonts w:hint="eastAsia" w:ascii="黑体" w:hAnsi="黑体" w:eastAsia="黑体"/>
          <w:sz w:val="28"/>
          <w:szCs w:val="21"/>
        </w:rPr>
        <w:t>一、工作简况</w:t>
      </w:r>
    </w:p>
    <w:p w14:paraId="1460C29D">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rPr>
          <w:rFonts w:ascii="宋体" w:hAnsi="宋体" w:eastAsia="宋体"/>
          <w:b/>
          <w:sz w:val="24"/>
          <w:szCs w:val="24"/>
        </w:rPr>
      </w:pPr>
      <w:r>
        <w:rPr>
          <w:rFonts w:ascii="宋体" w:hAnsi="宋体" w:eastAsia="宋体"/>
          <w:b/>
          <w:sz w:val="24"/>
          <w:szCs w:val="24"/>
        </w:rPr>
        <w:t>（一）任务来源</w:t>
      </w:r>
    </w:p>
    <w:p w14:paraId="2A429FD6">
      <w:pPr>
        <w:keepLines w:val="0"/>
        <w:pageBreakBefore w:val="0"/>
        <w:wordWrap/>
        <w:overflowPunct/>
        <w:topLinePunct w:val="0"/>
        <w:bidi w:val="0"/>
        <w:spacing w:line="360" w:lineRule="auto"/>
        <w:ind w:firstLine="480" w:firstLineChars="200"/>
        <w:rPr>
          <w:rFonts w:hint="eastAsia" w:ascii="Times New Roman" w:hAnsi="Times New Roman" w:eastAsia="宋体" w:cs="Times New Roman"/>
          <w:color w:val="0000FF"/>
          <w:sz w:val="24"/>
          <w:szCs w:val="24"/>
          <w:lang w:val="en-US" w:eastAsia="zh-CN"/>
        </w:rPr>
      </w:pPr>
      <w:r>
        <w:rPr>
          <w:rFonts w:hint="eastAsia" w:ascii="Times New Roman" w:hAnsi="Times New Roman" w:eastAsia="宋体" w:cs="Times New Roman"/>
          <w:color w:val="0000FF"/>
          <w:sz w:val="24"/>
          <w:szCs w:val="24"/>
          <w:lang w:val="en-US" w:eastAsia="zh-CN"/>
        </w:rPr>
        <w:t>《稳定性肥料》国家标准修订计划由国家标准化管理委员会于2025年7月1日以国标委发〔2025〕34 号文“国家标准委关于下达 2025 年第六批推荐性国家标准计划及相关标准外文版计划的通知”下达，计划编号为 20253083-T-606，由全国肥料和土壤调理剂标准化技术委员会（TC105）归口，新型肥料分会执行。由中国科学院沈阳应用生态研究所牵头、上海化工院检测有限公司、四川泸天化股份有限公司等25家单位共同完成该标准的制定工作。同时，本任务主要依托国家重点研发计划项目“绿色缓控释和稳定性肥料创制与产业化”（2022YFD17006）展开。</w:t>
      </w:r>
    </w:p>
    <w:p w14:paraId="3280BDBC">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textAlignment w:val="auto"/>
        <w:rPr>
          <w:rFonts w:hint="eastAsia" w:ascii="宋体" w:hAnsi="宋体" w:eastAsia="宋体"/>
          <w:b/>
          <w:sz w:val="24"/>
          <w:szCs w:val="24"/>
          <w:lang w:val="en-US" w:eastAsia="zh-CN"/>
        </w:rPr>
      </w:pPr>
      <w:r>
        <w:rPr>
          <w:rFonts w:hint="eastAsia" w:ascii="宋体" w:hAnsi="宋体" w:eastAsia="宋体" w:cstheme="minorBidi"/>
          <w:b/>
          <w:kern w:val="2"/>
          <w:sz w:val="24"/>
          <w:szCs w:val="24"/>
          <w:lang w:val="en-US" w:eastAsia="zh-CN" w:bidi="ar-SA"/>
        </w:rPr>
        <w:t>（二）</w:t>
      </w:r>
      <w:r>
        <w:rPr>
          <w:rFonts w:hint="eastAsia" w:ascii="宋体" w:hAnsi="宋体" w:eastAsia="宋体"/>
          <w:b/>
          <w:sz w:val="24"/>
          <w:szCs w:val="24"/>
          <w:lang w:val="en-US" w:eastAsia="zh-CN"/>
        </w:rPr>
        <w:t>制定背景</w:t>
      </w:r>
    </w:p>
    <w:p w14:paraId="7F983EBA">
      <w:pPr>
        <w:keepLines w:val="0"/>
        <w:pageBreakBefore w:val="0"/>
        <w:wordWrap/>
        <w:overflowPunct/>
        <w:topLinePunct w:val="0"/>
        <w:bidi w:val="0"/>
        <w:spacing w:line="360" w:lineRule="auto"/>
        <w:ind w:firstLine="480" w:firstLineChars="20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稳定性肥料是全球新型肥料核心增长点，国内市场认可度高，但行业出现产品虚标、质量参差问题，</w:t>
      </w:r>
      <w:r>
        <w:rPr>
          <w:rFonts w:hint="default" w:ascii="Times New Roman" w:hAnsi="Times New Roman" w:eastAsia="宋体" w:cs="Times New Roman"/>
          <w:sz w:val="24"/>
          <w:szCs w:val="24"/>
          <w:lang w:val="en-US" w:eastAsia="zh-CN"/>
        </w:rPr>
        <w:t>行业发展受阻</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国内产业发展</w:t>
      </w:r>
      <w:r>
        <w:rPr>
          <w:rFonts w:hint="eastAsia" w:ascii="Times New Roman" w:hAnsi="Times New Roman" w:eastAsia="宋体" w:cs="Times New Roman"/>
          <w:sz w:val="24"/>
          <w:szCs w:val="24"/>
          <w:lang w:val="en-US" w:eastAsia="zh-CN"/>
        </w:rPr>
        <w:t>亟须</w:t>
      </w:r>
      <w:r>
        <w:rPr>
          <w:rFonts w:hint="default" w:ascii="Times New Roman" w:hAnsi="Times New Roman" w:eastAsia="宋体" w:cs="Times New Roman"/>
          <w:sz w:val="24"/>
          <w:szCs w:val="24"/>
          <w:lang w:val="en-US" w:eastAsia="zh-CN"/>
        </w:rPr>
        <w:t>适配标准支撑</w:t>
      </w:r>
      <w:r>
        <w:rPr>
          <w:rFonts w:hint="eastAsia" w:ascii="Times New Roman" w:hAnsi="Times New Roman" w:eastAsia="宋体" w:cs="Times New Roman"/>
          <w:sz w:val="24"/>
          <w:szCs w:val="24"/>
          <w:lang w:val="en-US" w:eastAsia="zh-CN"/>
        </w:rPr>
        <w:t>。</w:t>
      </w:r>
    </w:p>
    <w:p w14:paraId="0DEB3D25">
      <w:pPr>
        <w:keepLines w:val="0"/>
        <w:pageBreakBefore w:val="0"/>
        <w:wordWrap/>
        <w:overflowPunct/>
        <w:topLinePunct w:val="0"/>
        <w:bidi w:val="0"/>
        <w:spacing w:line="360" w:lineRule="auto"/>
        <w:ind w:firstLine="480" w:firstLineChars="20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GB/T 35113《稳定性肥料》自2017年颁布实施后，有效的解决了该类型肥料无标、乱标、质量参差不齐、市场混乱等问题，使稳定性肥料从“概念产品”变成了可检测、可评价、可监管、可推广的新型肥料产品，并促进稳定型肥料产业的迅速升级和扩展，由原来的不足50万吨增至200万吨以上。</w:t>
      </w:r>
    </w:p>
    <w:p w14:paraId="694C8B58">
      <w:pPr>
        <w:keepLines w:val="0"/>
        <w:pageBreakBefore w:val="0"/>
        <w:wordWrap/>
        <w:overflowPunct/>
        <w:topLinePunct w:val="0"/>
        <w:bidi w:val="0"/>
        <w:spacing w:line="360" w:lineRule="auto"/>
        <w:ind w:firstLine="480" w:firstLineChars="20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近年来，随着稳定性肥料产业的扩大，GB/T 35113《稳定性肥料》标准出现了检测难、检测周期长、无核心抑制剂限量要求、指标体系不明确和标签标注不统一等缺陷，导致稳定性肥料市场产品质量良莠不齐、低端冒充、虚标效果频发等问题，制约产业发展。首先，是GB/T 35113《稳定性肥料》标准中的核心技术指标-硝化抑制率，因培养周期长、</w:t>
      </w:r>
      <w:r>
        <w:rPr>
          <w:rFonts w:hint="default" w:ascii="Times New Roman" w:hAnsi="Times New Roman" w:eastAsia="宋体" w:cs="Times New Roman"/>
          <w:sz w:val="24"/>
          <w:szCs w:val="24"/>
          <w:lang w:val="en-US" w:eastAsia="zh-CN"/>
        </w:rPr>
        <w:t>检测难</w:t>
      </w:r>
      <w:r>
        <w:rPr>
          <w:rFonts w:hint="eastAsia" w:ascii="Times New Roman" w:hAnsi="Times New Roman" w:eastAsia="宋体" w:cs="Times New Roman"/>
          <w:sz w:val="24"/>
          <w:szCs w:val="24"/>
          <w:lang w:val="en-US" w:eastAsia="zh-CN"/>
        </w:rPr>
        <w:t>等问题，致使</w:t>
      </w:r>
      <w:r>
        <w:rPr>
          <w:rFonts w:ascii="宋体" w:hAnsi="宋体" w:eastAsia="宋体" w:cs="宋体"/>
          <w:sz w:val="24"/>
          <w:szCs w:val="24"/>
        </w:rPr>
        <w:t>企业质控、</w:t>
      </w:r>
      <w:r>
        <w:rPr>
          <w:rFonts w:hint="eastAsia" w:ascii="Times New Roman" w:hAnsi="Times New Roman" w:eastAsia="宋体" w:cs="Times New Roman"/>
          <w:sz w:val="24"/>
          <w:szCs w:val="24"/>
          <w:lang w:val="en-US" w:eastAsia="zh-CN"/>
        </w:rPr>
        <w:t>市场抽检周期长、成本高、误判风险大，不适应快速监管与生产把控。其次，是GB/T 35113《稳定性肥料》标准未限定核心抑制剂种类和最低含量，导致部分低效 / 有害 / 廉价替代品冒充正品。虽然目前全球公布的脲酶抑制剂和硝化抑制剂有200多种，但是综合抑制效率、成本和生态安全，当前市场中流通的主要抑制剂仅有3种，分别是脲酶抑制剂正丁基硫代磷酰三胺 （NBPT）、硝化抑制剂双氰胺（DCD）和硝化抑制剂3,4-二甲基吡唑磷酸盐（DMPP）。另外，还有市场还有少量</w:t>
      </w:r>
      <w:r>
        <w:rPr>
          <w:rFonts w:hint="eastAsia" w:ascii="Times New Roman" w:hAnsi="Times New Roman" w:eastAsia="宋体" w:cs="Times New Roman"/>
          <w:sz w:val="24"/>
          <w:szCs w:val="24"/>
          <w:lang w:val="en-US" w:eastAsia="zh-CN"/>
        </w:rPr>
        <w:fldChar w:fldCharType="begin"/>
      </w:r>
      <w:r>
        <w:rPr>
          <w:rFonts w:hint="eastAsia" w:ascii="Times New Roman" w:hAnsi="Times New Roman" w:eastAsia="宋体" w:cs="Times New Roman"/>
          <w:sz w:val="24"/>
          <w:szCs w:val="24"/>
          <w:lang w:val="en-US" w:eastAsia="zh-CN"/>
        </w:rPr>
        <w:instrText xml:space="preserve"> HYPERLINK "http://www.baidu.com/link?url=SqsDKNrO-TJDP7-lotJLwtNoUParqYpMrOQqka_qRvzIknd5xJW8RO00c3eZZt16B2vrM12PkRxOQ9cBRgvymDH7Tcn3DKOh0odpHK0wz13" \t "_blank" </w:instrText>
      </w:r>
      <w:r>
        <w:rPr>
          <w:rFonts w:hint="eastAsia" w:ascii="Times New Roman" w:hAnsi="Times New Roman" w:eastAsia="宋体" w:cs="Times New Roman"/>
          <w:sz w:val="24"/>
          <w:szCs w:val="24"/>
          <w:lang w:val="en-US" w:eastAsia="zh-CN"/>
        </w:rPr>
        <w:fldChar w:fldCharType="separate"/>
      </w:r>
      <w:r>
        <w:rPr>
          <w:rFonts w:hint="eastAsia" w:ascii="Times New Roman" w:hAnsi="Times New Roman" w:eastAsia="宋体" w:cs="Times New Roman"/>
          <w:sz w:val="24"/>
          <w:szCs w:val="24"/>
          <w:lang w:val="en-US" w:eastAsia="zh-CN"/>
        </w:rPr>
        <w:t>2-氯-6-三氯甲基吡啶</w:t>
      </w:r>
      <w:r>
        <w:rPr>
          <w:rFonts w:hint="eastAsia" w:ascii="Times New Roman" w:hAnsi="Times New Roman" w:eastAsia="宋体" w:cs="Times New Roman"/>
          <w:sz w:val="24"/>
          <w:szCs w:val="24"/>
          <w:lang w:val="en-US" w:eastAsia="zh-CN"/>
        </w:rPr>
        <w:fldChar w:fldCharType="end"/>
      </w:r>
      <w:r>
        <w:rPr>
          <w:rFonts w:hint="eastAsia" w:ascii="Times New Roman" w:hAnsi="Times New Roman" w:eastAsia="宋体" w:cs="Times New Roman"/>
          <w:sz w:val="24"/>
          <w:szCs w:val="24"/>
          <w:lang w:val="en-US" w:eastAsia="zh-CN"/>
        </w:rPr>
        <w:t>（CP）流通，以及近几年研究火热的植物源和微生物源等生物源抑制剂以及脲酶抑制和硝化抑制双控型抑制剂，也开始在市场上流通。此外，GB/T 35113《稳定性肥料》标准中将稳定性肥料产品简单分为</w:t>
      </w:r>
      <w:r>
        <w:rPr>
          <w:rFonts w:ascii="宋体" w:hAnsi="宋体" w:eastAsia="宋体" w:cs="宋体"/>
          <w:sz w:val="24"/>
          <w:szCs w:val="24"/>
        </w:rPr>
        <w:t>1 型（脲酶抑制）、2 型（硝化抑制）、3 型（双抑制）</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产品分类不明确，造成用户认认知模糊和分类困难，并且产品包装袋上未强制要求标注稳定性肥料类型、</w:t>
      </w:r>
      <w:r>
        <w:rPr>
          <w:rFonts w:hint="eastAsia" w:ascii="宋体" w:hAnsi="宋体" w:eastAsia="宋体" w:cs="宋体"/>
          <w:color w:val="FF0000"/>
          <w:sz w:val="24"/>
          <w:szCs w:val="24"/>
          <w:lang w:val="en-US" w:eastAsia="zh-CN"/>
        </w:rPr>
        <w:t>抑制剂名称</w:t>
      </w:r>
      <w:r>
        <w:rPr>
          <w:rFonts w:hint="eastAsia" w:ascii="宋体" w:hAnsi="宋体" w:eastAsia="宋体" w:cs="宋体"/>
          <w:sz w:val="24"/>
          <w:szCs w:val="24"/>
          <w:lang w:val="en-US" w:eastAsia="zh-CN"/>
        </w:rPr>
        <w:t>等指标，</w:t>
      </w:r>
      <w:r>
        <w:rPr>
          <w:rFonts w:ascii="宋体" w:hAnsi="宋体" w:eastAsia="宋体" w:cs="宋体"/>
          <w:sz w:val="24"/>
          <w:szCs w:val="24"/>
        </w:rPr>
        <w:t>标识与监管规则薄弱</w:t>
      </w:r>
      <w:r>
        <w:rPr>
          <w:rFonts w:hint="eastAsia" w:ascii="Times New Roman" w:hAnsi="Times New Roman" w:eastAsia="宋体" w:cs="Times New Roman"/>
          <w:sz w:val="24"/>
          <w:szCs w:val="24"/>
          <w:lang w:val="en-US" w:eastAsia="zh-CN"/>
        </w:rPr>
        <w:t>。</w:t>
      </w:r>
    </w:p>
    <w:p w14:paraId="304587C7">
      <w:pPr>
        <w:keepLines w:val="0"/>
        <w:pageBreakBefore w:val="0"/>
        <w:wordWrap/>
        <w:overflowPunct/>
        <w:topLinePunct w:val="0"/>
        <w:bidi w:val="0"/>
        <w:spacing w:line="360" w:lineRule="auto"/>
        <w:ind w:firstLine="480" w:firstLineChars="20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以上不足致使GB/T 35113《稳定性肥料》标准难以满足当前稳定性肥料产业发展的规范、监督要求，难以适配产业发展。因此，为契合绿色农业与高效施肥需求，规范行业发展、强化市场监管，亟须修订完善稳定性肥料国家标准。</w:t>
      </w:r>
    </w:p>
    <w:p w14:paraId="3F5D1FE5">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rPr>
          <w:rFonts w:hint="default" w:ascii="宋体" w:hAnsi="宋体" w:eastAsia="宋体"/>
          <w:b/>
          <w:sz w:val="24"/>
          <w:szCs w:val="24"/>
          <w:lang w:val="en-US" w:eastAsia="zh-CN"/>
        </w:rPr>
      </w:pPr>
      <w:r>
        <w:rPr>
          <w:rFonts w:ascii="宋体" w:hAnsi="宋体" w:eastAsia="宋体"/>
          <w:b/>
          <w:sz w:val="24"/>
          <w:szCs w:val="24"/>
        </w:rPr>
        <w:t>（</w:t>
      </w:r>
      <w:r>
        <w:rPr>
          <w:rFonts w:hint="eastAsia" w:ascii="宋体" w:hAnsi="宋体" w:eastAsia="宋体"/>
          <w:b/>
          <w:sz w:val="24"/>
          <w:szCs w:val="24"/>
          <w:lang w:val="en-US" w:eastAsia="zh-CN"/>
        </w:rPr>
        <w:t>三</w:t>
      </w:r>
      <w:r>
        <w:rPr>
          <w:rFonts w:ascii="宋体" w:hAnsi="宋体" w:eastAsia="宋体"/>
          <w:b/>
          <w:sz w:val="24"/>
          <w:szCs w:val="24"/>
        </w:rPr>
        <w:t>）</w:t>
      </w:r>
      <w:r>
        <w:rPr>
          <w:rFonts w:hint="eastAsia" w:ascii="宋体" w:hAnsi="宋体" w:eastAsia="宋体"/>
          <w:b/>
          <w:sz w:val="24"/>
          <w:szCs w:val="24"/>
          <w:lang w:val="en-US" w:eastAsia="zh-CN"/>
        </w:rPr>
        <w:t>起草过程</w:t>
      </w:r>
    </w:p>
    <w:p w14:paraId="129D46A7">
      <w:pPr>
        <w:keepLines w:val="0"/>
        <w:pageBreakBefore w:val="0"/>
        <w:wordWrap/>
        <w:overflowPunct/>
        <w:topLinePunct w:val="0"/>
        <w:bidi w:val="0"/>
        <w:spacing w:line="360" w:lineRule="auto"/>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1 立项申请：202</w:t>
      </w:r>
      <w:r>
        <w:rPr>
          <w:rFonts w:hint="eastAsia" w:ascii="Times New Roman" w:hAnsi="Times New Roman" w:eastAsia="宋体" w:cs="Times New Roman"/>
          <w:bCs/>
          <w:sz w:val="24"/>
          <w:szCs w:val="24"/>
          <w:lang w:val="en-US" w:eastAsia="zh-CN"/>
        </w:rPr>
        <w:t>5</w:t>
      </w:r>
      <w:r>
        <w:rPr>
          <w:rFonts w:ascii="Times New Roman" w:hAnsi="Times New Roman" w:eastAsia="宋体" w:cs="Times New Roman"/>
          <w:bCs/>
          <w:sz w:val="24"/>
          <w:szCs w:val="24"/>
        </w:rPr>
        <w:t>年</w:t>
      </w:r>
      <w:r>
        <w:rPr>
          <w:rFonts w:hint="eastAsia" w:ascii="Times New Roman" w:hAnsi="Times New Roman" w:eastAsia="宋体" w:cs="Times New Roman"/>
          <w:bCs/>
          <w:sz w:val="24"/>
          <w:szCs w:val="24"/>
          <w:lang w:val="en-US" w:eastAsia="zh-CN"/>
        </w:rPr>
        <w:t>3</w:t>
      </w:r>
      <w:r>
        <w:rPr>
          <w:rFonts w:ascii="Times New Roman" w:hAnsi="Times New Roman" w:eastAsia="宋体" w:cs="Times New Roman"/>
          <w:bCs/>
          <w:sz w:val="24"/>
          <w:szCs w:val="24"/>
        </w:rPr>
        <w:t>月</w:t>
      </w:r>
      <w:r>
        <w:rPr>
          <w:rFonts w:hint="eastAsia" w:ascii="Times New Roman" w:hAnsi="Times New Roman" w:eastAsia="宋体" w:cs="Times New Roman"/>
          <w:bCs/>
          <w:sz w:val="24"/>
          <w:szCs w:val="24"/>
          <w:lang w:val="en-US" w:eastAsia="zh-CN"/>
        </w:rPr>
        <w:t>18</w:t>
      </w:r>
      <w:r>
        <w:rPr>
          <w:rFonts w:ascii="Times New Roman" w:hAnsi="Times New Roman" w:eastAsia="宋体" w:cs="Times New Roman"/>
          <w:bCs/>
          <w:sz w:val="24"/>
          <w:szCs w:val="24"/>
        </w:rPr>
        <w:t>日，由</w:t>
      </w:r>
      <w:r>
        <w:rPr>
          <w:rFonts w:hint="default" w:ascii="Times New Roman" w:hAnsi="Times New Roman" w:eastAsia="宋体" w:cs="Times New Roman"/>
          <w:sz w:val="24"/>
          <w:szCs w:val="24"/>
          <w:lang w:val="en-US" w:eastAsia="zh-CN"/>
        </w:rPr>
        <w:t>中国科学院沈阳应用生态研究所</w:t>
      </w:r>
      <w:r>
        <w:rPr>
          <w:rFonts w:ascii="Times New Roman" w:hAnsi="Times New Roman" w:eastAsia="宋体" w:cs="Times New Roman"/>
          <w:sz w:val="24"/>
          <w:szCs w:val="24"/>
        </w:rPr>
        <w:t>向</w:t>
      </w:r>
      <w:r>
        <w:rPr>
          <w:rFonts w:hint="eastAsia" w:ascii="Times New Roman" w:hAnsi="Times New Roman" w:eastAsia="宋体" w:cs="Times New Roman"/>
          <w:sz w:val="24"/>
          <w:szCs w:val="24"/>
        </w:rPr>
        <w:t>全国肥料和土壤调理剂标准化技术委员会新型肥料分技术委员会</w:t>
      </w:r>
      <w:r>
        <w:rPr>
          <w:rFonts w:ascii="Times New Roman" w:hAnsi="Times New Roman" w:eastAsia="宋体" w:cs="Times New Roman"/>
          <w:sz w:val="24"/>
          <w:szCs w:val="24"/>
        </w:rPr>
        <w:t>提出立项申请</w:t>
      </w:r>
      <w:r>
        <w:rPr>
          <w:rFonts w:ascii="Times New Roman" w:hAnsi="Times New Roman" w:eastAsia="宋体" w:cs="Times New Roman"/>
          <w:bCs/>
          <w:sz w:val="24"/>
          <w:szCs w:val="24"/>
        </w:rPr>
        <w:t>。</w:t>
      </w:r>
    </w:p>
    <w:p w14:paraId="68CF1D2D">
      <w:pPr>
        <w:keepLines w:val="0"/>
        <w:pageBreakBefore w:val="0"/>
        <w:wordWrap/>
        <w:overflowPunct/>
        <w:topLinePunct w:val="0"/>
        <w:bidi w:val="0"/>
        <w:spacing w:line="360" w:lineRule="auto"/>
        <w:ind w:firstLine="480" w:firstLineChars="200"/>
        <w:rPr>
          <w:rFonts w:ascii="Times New Roman" w:hAnsi="Times New Roman" w:eastAsia="宋体" w:cs="Times New Roman"/>
          <w:bCs/>
          <w:sz w:val="24"/>
          <w:szCs w:val="24"/>
        </w:rPr>
      </w:pPr>
      <w:r>
        <w:rPr>
          <w:rFonts w:hint="eastAsia" w:ascii="Times New Roman" w:hAnsi="Times New Roman" w:eastAsia="宋体" w:cs="Times New Roman"/>
          <w:bCs/>
          <w:sz w:val="24"/>
          <w:szCs w:val="24"/>
          <w:lang w:val="en-US" w:eastAsia="zh-CN"/>
        </w:rPr>
        <w:t>2</w:t>
      </w:r>
      <w:r>
        <w:rPr>
          <w:rFonts w:ascii="Times New Roman" w:hAnsi="Times New Roman" w:eastAsia="宋体" w:cs="Times New Roman"/>
          <w:bCs/>
          <w:sz w:val="24"/>
          <w:szCs w:val="24"/>
        </w:rPr>
        <w:t xml:space="preserve"> 标准立项：</w:t>
      </w:r>
      <w:r>
        <w:rPr>
          <w:rFonts w:ascii="Times New Roman" w:hAnsi="Times New Roman" w:eastAsia="宋体" w:cs="Times New Roman"/>
          <w:bCs/>
          <w:color w:val="auto"/>
          <w:sz w:val="24"/>
          <w:szCs w:val="24"/>
        </w:rPr>
        <w:t>202</w:t>
      </w:r>
      <w:r>
        <w:rPr>
          <w:rFonts w:hint="eastAsia" w:ascii="Times New Roman" w:hAnsi="Times New Roman" w:eastAsia="宋体" w:cs="Times New Roman"/>
          <w:bCs/>
          <w:color w:val="auto"/>
          <w:sz w:val="24"/>
          <w:szCs w:val="24"/>
          <w:lang w:val="en-US" w:eastAsia="zh-CN"/>
        </w:rPr>
        <w:t>5</w:t>
      </w:r>
      <w:r>
        <w:rPr>
          <w:rFonts w:ascii="Times New Roman" w:hAnsi="Times New Roman" w:eastAsia="宋体" w:cs="Times New Roman"/>
          <w:bCs/>
          <w:color w:val="auto"/>
          <w:sz w:val="24"/>
          <w:szCs w:val="24"/>
        </w:rPr>
        <w:t>年</w:t>
      </w:r>
      <w:r>
        <w:rPr>
          <w:rFonts w:hint="eastAsia" w:ascii="Times New Roman" w:hAnsi="Times New Roman" w:eastAsia="宋体" w:cs="Times New Roman"/>
          <w:bCs/>
          <w:color w:val="auto"/>
          <w:sz w:val="24"/>
          <w:szCs w:val="24"/>
          <w:lang w:val="en-US" w:eastAsia="zh-CN"/>
        </w:rPr>
        <w:t>7</w:t>
      </w:r>
      <w:r>
        <w:rPr>
          <w:rFonts w:ascii="Times New Roman" w:hAnsi="Times New Roman" w:eastAsia="宋体" w:cs="Times New Roman"/>
          <w:bCs/>
          <w:color w:val="auto"/>
          <w:sz w:val="24"/>
          <w:szCs w:val="24"/>
        </w:rPr>
        <w:t>月1日，</w:t>
      </w:r>
      <w:r>
        <w:rPr>
          <w:rFonts w:hint="eastAsia" w:ascii="Times New Roman" w:hAnsi="Times New Roman" w:eastAsia="宋体" w:cs="Times New Roman"/>
          <w:sz w:val="24"/>
          <w:szCs w:val="24"/>
          <w:lang w:val="en-US" w:eastAsia="zh-CN"/>
        </w:rPr>
        <w:t>全国肥料标委会</w:t>
      </w:r>
      <w:r>
        <w:rPr>
          <w:rFonts w:ascii="Times New Roman" w:hAnsi="Times New Roman" w:eastAsia="宋体" w:cs="Times New Roman"/>
          <w:bCs/>
          <w:color w:val="auto"/>
          <w:sz w:val="24"/>
          <w:szCs w:val="24"/>
        </w:rPr>
        <w:t>发出同意立项通知</w:t>
      </w:r>
      <w:r>
        <w:rPr>
          <w:rFonts w:hint="eastAsia" w:ascii="Times New Roman" w:hAnsi="Times New Roman" w:eastAsia="宋体" w:cs="Times New Roman"/>
          <w:bCs/>
          <w:color w:val="auto"/>
          <w:sz w:val="24"/>
          <w:szCs w:val="24"/>
          <w:lang w:eastAsia="zh-CN"/>
        </w:rPr>
        <w:t>（</w:t>
      </w:r>
      <w:r>
        <w:rPr>
          <w:rFonts w:hint="eastAsia" w:ascii="Times New Roman" w:hAnsi="Times New Roman" w:eastAsia="宋体" w:cs="Times New Roman"/>
          <w:bCs/>
          <w:color w:val="auto"/>
          <w:sz w:val="24"/>
          <w:szCs w:val="24"/>
          <w:lang w:val="en-US" w:eastAsia="zh-CN"/>
        </w:rPr>
        <w:t>计划号：20253083-T-606</w:t>
      </w:r>
      <w:r>
        <w:rPr>
          <w:rFonts w:hint="eastAsia" w:ascii="Times New Roman" w:hAnsi="Times New Roman" w:eastAsia="宋体" w:cs="Times New Roman"/>
          <w:bCs/>
          <w:color w:val="auto"/>
          <w:sz w:val="24"/>
          <w:szCs w:val="24"/>
          <w:lang w:eastAsia="zh-CN"/>
        </w:rPr>
        <w:t>）</w:t>
      </w:r>
      <w:r>
        <w:rPr>
          <w:rFonts w:ascii="Times New Roman" w:hAnsi="Times New Roman" w:eastAsia="宋体" w:cs="Times New Roman"/>
          <w:bCs/>
          <w:color w:val="auto"/>
          <w:sz w:val="24"/>
          <w:szCs w:val="24"/>
        </w:rPr>
        <w:t>，由</w:t>
      </w:r>
      <w:r>
        <w:rPr>
          <w:rFonts w:hint="default" w:ascii="Times New Roman" w:hAnsi="Times New Roman" w:eastAsia="宋体" w:cs="Times New Roman"/>
          <w:sz w:val="24"/>
          <w:szCs w:val="24"/>
          <w:lang w:val="en-US" w:eastAsia="zh-CN"/>
        </w:rPr>
        <w:t>中国科学院沈阳应用生态研究所等单位</w:t>
      </w:r>
      <w:r>
        <w:rPr>
          <w:rFonts w:ascii="Times New Roman" w:hAnsi="Times New Roman" w:eastAsia="宋体" w:cs="Times New Roman"/>
          <w:bCs/>
          <w:color w:val="auto"/>
          <w:sz w:val="24"/>
          <w:szCs w:val="24"/>
        </w:rPr>
        <w:t>牵头《</w:t>
      </w:r>
      <w:r>
        <w:rPr>
          <w:rFonts w:hint="eastAsia" w:ascii="Times New Roman" w:hAnsi="Times New Roman" w:eastAsia="宋体" w:cs="Times New Roman"/>
          <w:bCs/>
          <w:color w:val="auto"/>
          <w:sz w:val="24"/>
          <w:szCs w:val="24"/>
          <w:lang w:val="en-US" w:eastAsia="zh-CN"/>
        </w:rPr>
        <w:t>稳定性肥料</w:t>
      </w:r>
      <w:r>
        <w:rPr>
          <w:rFonts w:ascii="Times New Roman" w:hAnsi="Times New Roman" w:eastAsia="宋体" w:cs="Times New Roman"/>
          <w:bCs/>
          <w:color w:val="auto"/>
          <w:sz w:val="24"/>
          <w:szCs w:val="24"/>
        </w:rPr>
        <w:t>》</w:t>
      </w:r>
      <w:r>
        <w:rPr>
          <w:rFonts w:hint="eastAsia" w:ascii="Times New Roman" w:hAnsi="Times New Roman" w:eastAsia="宋体" w:cs="Times New Roman"/>
          <w:bCs/>
          <w:color w:val="auto"/>
          <w:sz w:val="24"/>
          <w:szCs w:val="24"/>
          <w:lang w:val="en-US" w:eastAsia="zh-CN"/>
        </w:rPr>
        <w:t>国家</w:t>
      </w:r>
      <w:r>
        <w:rPr>
          <w:rFonts w:ascii="Times New Roman" w:hAnsi="Times New Roman" w:eastAsia="宋体" w:cs="Times New Roman"/>
          <w:bCs/>
          <w:color w:val="auto"/>
          <w:sz w:val="24"/>
          <w:szCs w:val="24"/>
        </w:rPr>
        <w:t>标准的</w:t>
      </w:r>
      <w:r>
        <w:rPr>
          <w:rFonts w:hint="eastAsia" w:ascii="Times New Roman" w:hAnsi="Times New Roman" w:eastAsia="宋体" w:cs="Times New Roman"/>
          <w:bCs/>
          <w:color w:val="auto"/>
          <w:sz w:val="24"/>
          <w:szCs w:val="24"/>
          <w:lang w:val="en-US" w:eastAsia="zh-CN"/>
        </w:rPr>
        <w:t>修订工作，同时成立标准编写和修订小组</w:t>
      </w:r>
      <w:r>
        <w:rPr>
          <w:rFonts w:hint="default" w:ascii="Times New Roman" w:hAnsi="Times New Roman" w:eastAsia="宋体" w:cs="Times New Roman"/>
          <w:sz w:val="24"/>
          <w:szCs w:val="24"/>
          <w:lang w:val="en-US" w:eastAsia="zh-CN"/>
        </w:rPr>
        <w:t>，先完成产品类型划分、技术指标体系初稿编制，同步开展检测方法论证与试验验证</w:t>
      </w:r>
      <w:r>
        <w:rPr>
          <w:rFonts w:hint="eastAsia" w:ascii="Times New Roman" w:hAnsi="Times New Roman" w:eastAsia="宋体" w:cs="Times New Roman"/>
          <w:sz w:val="24"/>
          <w:szCs w:val="24"/>
          <w:lang w:val="en-US" w:eastAsia="zh-CN"/>
        </w:rPr>
        <w:t>。</w:t>
      </w:r>
    </w:p>
    <w:p w14:paraId="40E21EE2">
      <w:pPr>
        <w:keepLines w:val="0"/>
        <w:pageBreakBefore w:val="0"/>
        <w:wordWrap/>
        <w:overflowPunct/>
        <w:topLinePunct w:val="0"/>
        <w:bidi w:val="0"/>
        <w:spacing w:line="360" w:lineRule="auto"/>
        <w:ind w:firstLine="480" w:firstLineChars="200"/>
        <w:rPr>
          <w:rFonts w:ascii="Times New Roman" w:hAnsi="Times New Roman" w:eastAsia="宋体" w:cs="Times New Roman"/>
          <w:bCs/>
          <w:sz w:val="24"/>
          <w:szCs w:val="24"/>
        </w:rPr>
      </w:pPr>
      <w:r>
        <w:rPr>
          <w:rFonts w:hint="eastAsia" w:ascii="Times New Roman" w:hAnsi="Times New Roman" w:eastAsia="宋体" w:cs="Times New Roman"/>
          <w:bCs/>
          <w:sz w:val="24"/>
          <w:szCs w:val="24"/>
          <w:lang w:val="en-US" w:eastAsia="zh-CN"/>
        </w:rPr>
        <w:t>3</w:t>
      </w:r>
      <w:r>
        <w:rPr>
          <w:rFonts w:ascii="Times New Roman" w:hAnsi="Times New Roman" w:eastAsia="宋体" w:cs="Times New Roman"/>
          <w:bCs/>
          <w:sz w:val="24"/>
          <w:szCs w:val="24"/>
        </w:rPr>
        <w:t xml:space="preserve"> </w:t>
      </w:r>
      <w:r>
        <w:rPr>
          <w:rFonts w:hint="eastAsia" w:ascii="Times New Roman" w:hAnsi="Times New Roman" w:eastAsia="宋体" w:cs="Times New Roman"/>
          <w:bCs/>
          <w:sz w:val="24"/>
          <w:szCs w:val="24"/>
          <w:lang w:val="en-US" w:eastAsia="zh-CN"/>
        </w:rPr>
        <w:t>工作会议</w:t>
      </w:r>
      <w:r>
        <w:rPr>
          <w:rFonts w:ascii="Times New Roman" w:hAnsi="Times New Roman" w:eastAsia="宋体" w:cs="Times New Roman"/>
          <w:bCs/>
          <w:sz w:val="24"/>
          <w:szCs w:val="24"/>
        </w:rPr>
        <w:t>：编写组定于202</w:t>
      </w:r>
      <w:r>
        <w:rPr>
          <w:rFonts w:hint="eastAsia" w:ascii="Times New Roman" w:hAnsi="Times New Roman" w:eastAsia="宋体" w:cs="Times New Roman"/>
          <w:bCs/>
          <w:sz w:val="24"/>
          <w:szCs w:val="24"/>
          <w:lang w:val="en-US" w:eastAsia="zh-CN"/>
        </w:rPr>
        <w:t>6</w:t>
      </w:r>
      <w:r>
        <w:rPr>
          <w:rFonts w:ascii="Times New Roman" w:hAnsi="Times New Roman" w:eastAsia="宋体" w:cs="Times New Roman"/>
          <w:bCs/>
          <w:sz w:val="24"/>
          <w:szCs w:val="24"/>
        </w:rPr>
        <w:t>年</w:t>
      </w:r>
      <w:r>
        <w:rPr>
          <w:rFonts w:hint="eastAsia" w:ascii="Times New Roman" w:hAnsi="Times New Roman" w:eastAsia="宋体" w:cs="Times New Roman"/>
          <w:bCs/>
          <w:sz w:val="24"/>
          <w:szCs w:val="24"/>
          <w:lang w:val="en-US" w:eastAsia="zh-CN"/>
        </w:rPr>
        <w:t>4</w:t>
      </w:r>
      <w:r>
        <w:rPr>
          <w:rFonts w:ascii="Times New Roman" w:hAnsi="Times New Roman" w:eastAsia="宋体" w:cs="Times New Roman"/>
          <w:bCs/>
          <w:sz w:val="24"/>
          <w:szCs w:val="24"/>
        </w:rPr>
        <w:t>月1</w:t>
      </w:r>
      <w:r>
        <w:rPr>
          <w:rFonts w:hint="eastAsia" w:ascii="Times New Roman" w:hAnsi="Times New Roman" w:eastAsia="宋体" w:cs="Times New Roman"/>
          <w:bCs/>
          <w:sz w:val="24"/>
          <w:szCs w:val="24"/>
          <w:lang w:val="en-US" w:eastAsia="zh-CN"/>
        </w:rPr>
        <w:t>4</w:t>
      </w:r>
      <w:r>
        <w:rPr>
          <w:rFonts w:ascii="Times New Roman" w:hAnsi="Times New Roman" w:eastAsia="宋体" w:cs="Times New Roman"/>
          <w:bCs/>
          <w:sz w:val="24"/>
          <w:szCs w:val="24"/>
        </w:rPr>
        <w:t>日召开</w:t>
      </w:r>
      <w:r>
        <w:rPr>
          <w:rFonts w:hint="eastAsia" w:ascii="Times New Roman" w:hAnsi="Times New Roman" w:eastAsia="宋体" w:cs="Times New Roman"/>
          <w:bCs/>
          <w:sz w:val="24"/>
          <w:szCs w:val="24"/>
          <w:lang w:val="en-US" w:eastAsia="zh-CN"/>
        </w:rPr>
        <w:t>修订工作会议（线上）</w:t>
      </w:r>
      <w:r>
        <w:rPr>
          <w:rFonts w:ascii="Times New Roman" w:hAnsi="Times New Roman" w:eastAsia="宋体" w:cs="Times New Roman"/>
          <w:bCs/>
          <w:sz w:val="24"/>
          <w:szCs w:val="24"/>
        </w:rPr>
        <w:t>。编写组汇报了项目背景、标准的</w:t>
      </w:r>
      <w:r>
        <w:rPr>
          <w:rFonts w:hint="eastAsia" w:ascii="Times New Roman" w:hAnsi="Times New Roman" w:eastAsia="宋体" w:cs="Times New Roman"/>
          <w:bCs/>
          <w:sz w:val="24"/>
          <w:szCs w:val="24"/>
          <w:lang w:val="en-US" w:eastAsia="zh-CN"/>
        </w:rPr>
        <w:t>修订内容解读</w:t>
      </w:r>
      <w:r>
        <w:rPr>
          <w:rFonts w:ascii="Times New Roman" w:hAnsi="Times New Roman" w:eastAsia="宋体" w:cs="Times New Roman"/>
          <w:bCs/>
          <w:sz w:val="24"/>
          <w:szCs w:val="24"/>
        </w:rPr>
        <w:t>、需要讨论议题，以及下一步工作计划。</w:t>
      </w:r>
    </w:p>
    <w:p w14:paraId="78BAAA83">
      <w:pPr>
        <w:keepLines w:val="0"/>
        <w:pageBreakBefore w:val="0"/>
        <w:wordWrap/>
        <w:overflowPunct/>
        <w:topLinePunct w:val="0"/>
        <w:bidi w:val="0"/>
        <w:spacing w:line="360" w:lineRule="auto"/>
        <w:ind w:firstLine="480" w:firstLineChars="200"/>
        <w:rPr>
          <w:rFonts w:hint="eastAsia" w:ascii="Times New Roman" w:hAnsi="Times New Roman" w:eastAsia="宋体" w:cs="Times New Roman"/>
          <w:bCs/>
          <w:sz w:val="24"/>
          <w:szCs w:val="24"/>
          <w:lang w:val="en-US" w:eastAsia="zh-CN"/>
        </w:rPr>
      </w:pPr>
      <w:r>
        <w:rPr>
          <w:rFonts w:hint="eastAsia" w:ascii="Times New Roman" w:hAnsi="Times New Roman" w:eastAsia="宋体" w:cs="Times New Roman"/>
          <w:bCs/>
          <w:sz w:val="24"/>
          <w:szCs w:val="24"/>
          <w:lang w:val="en-US" w:eastAsia="zh-CN"/>
        </w:rPr>
        <w:t>4</w:t>
      </w:r>
      <w:r>
        <w:rPr>
          <w:rFonts w:ascii="Times New Roman" w:hAnsi="Times New Roman" w:eastAsia="宋体" w:cs="Times New Roman"/>
          <w:bCs/>
          <w:sz w:val="24"/>
          <w:szCs w:val="24"/>
        </w:rPr>
        <w:t xml:space="preserve"> 标准编制：202</w:t>
      </w:r>
      <w:r>
        <w:rPr>
          <w:rFonts w:hint="eastAsia" w:ascii="Times New Roman" w:hAnsi="Times New Roman" w:eastAsia="宋体" w:cs="Times New Roman"/>
          <w:bCs/>
          <w:sz w:val="24"/>
          <w:szCs w:val="24"/>
          <w:lang w:val="en-US" w:eastAsia="zh-CN"/>
        </w:rPr>
        <w:t>6</w:t>
      </w:r>
      <w:r>
        <w:rPr>
          <w:rFonts w:ascii="Times New Roman" w:hAnsi="Times New Roman" w:eastAsia="宋体" w:cs="Times New Roman"/>
          <w:bCs/>
          <w:sz w:val="24"/>
          <w:szCs w:val="24"/>
        </w:rPr>
        <w:t>年</w:t>
      </w:r>
      <w:r>
        <w:rPr>
          <w:rFonts w:hint="eastAsia" w:ascii="Times New Roman" w:hAnsi="Times New Roman" w:eastAsia="宋体" w:cs="Times New Roman"/>
          <w:bCs/>
          <w:sz w:val="24"/>
          <w:szCs w:val="24"/>
          <w:lang w:val="en-US" w:eastAsia="zh-CN"/>
        </w:rPr>
        <w:t>5</w:t>
      </w:r>
      <w:r>
        <w:rPr>
          <w:rFonts w:ascii="Times New Roman" w:hAnsi="Times New Roman" w:eastAsia="宋体" w:cs="Times New Roman"/>
          <w:bCs/>
          <w:sz w:val="24"/>
          <w:szCs w:val="24"/>
        </w:rPr>
        <w:t>月</w:t>
      </w:r>
      <w:r>
        <w:rPr>
          <w:rFonts w:hint="eastAsia" w:ascii="Times New Roman" w:hAnsi="Times New Roman" w:eastAsia="宋体" w:cs="Times New Roman"/>
          <w:bCs/>
          <w:sz w:val="24"/>
          <w:szCs w:val="24"/>
          <w:lang w:val="en-US" w:eastAsia="zh-CN"/>
        </w:rPr>
        <w:t>-</w:t>
      </w:r>
      <w:r>
        <w:rPr>
          <w:rFonts w:ascii="Times New Roman" w:hAnsi="Times New Roman" w:eastAsia="宋体" w:cs="Times New Roman"/>
          <w:bCs/>
          <w:sz w:val="24"/>
          <w:szCs w:val="24"/>
        </w:rPr>
        <w:t>202</w:t>
      </w:r>
      <w:r>
        <w:rPr>
          <w:rFonts w:hint="eastAsia" w:ascii="Times New Roman" w:hAnsi="Times New Roman" w:eastAsia="宋体" w:cs="Times New Roman"/>
          <w:bCs/>
          <w:sz w:val="24"/>
          <w:szCs w:val="24"/>
          <w:lang w:val="en-US" w:eastAsia="zh-CN"/>
        </w:rPr>
        <w:t>6</w:t>
      </w:r>
      <w:r>
        <w:rPr>
          <w:rFonts w:ascii="Times New Roman" w:hAnsi="Times New Roman" w:eastAsia="宋体" w:cs="Times New Roman"/>
          <w:bCs/>
          <w:sz w:val="24"/>
          <w:szCs w:val="24"/>
        </w:rPr>
        <w:t>年</w:t>
      </w:r>
      <w:r>
        <w:rPr>
          <w:rFonts w:hint="eastAsia" w:ascii="Times New Roman" w:hAnsi="Times New Roman" w:eastAsia="宋体" w:cs="Times New Roman"/>
          <w:bCs/>
          <w:sz w:val="24"/>
          <w:szCs w:val="24"/>
          <w:lang w:val="en-US" w:eastAsia="zh-CN"/>
        </w:rPr>
        <w:t>9</w:t>
      </w:r>
      <w:r>
        <w:rPr>
          <w:rFonts w:ascii="Times New Roman" w:hAnsi="Times New Roman" w:eastAsia="宋体" w:cs="Times New Roman"/>
          <w:bCs/>
          <w:sz w:val="24"/>
          <w:szCs w:val="24"/>
        </w:rPr>
        <w:t>月，牵头单位进行了意见征集</w:t>
      </w:r>
      <w:r>
        <w:rPr>
          <w:rFonts w:hint="eastAsia" w:ascii="Times New Roman" w:hAnsi="Times New Roman" w:eastAsia="宋体" w:cs="Times New Roman"/>
          <w:bCs/>
          <w:sz w:val="24"/>
          <w:szCs w:val="24"/>
          <w:lang w:eastAsia="zh-CN"/>
        </w:rPr>
        <w:t>，</w:t>
      </w:r>
      <w:r>
        <w:rPr>
          <w:rFonts w:hint="default" w:ascii="Times New Roman" w:hAnsi="Times New Roman" w:eastAsia="宋体" w:cs="Times New Roman"/>
          <w:sz w:val="24"/>
          <w:szCs w:val="24"/>
          <w:lang w:val="en-US" w:eastAsia="zh-CN"/>
        </w:rPr>
        <w:t>向行业专家</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企业与科研单位广泛征求意见</w:t>
      </w:r>
      <w:r>
        <w:rPr>
          <w:rFonts w:hint="eastAsia" w:ascii="Times New Roman" w:hAnsi="Times New Roman" w:eastAsia="宋体" w:cs="Times New Roman"/>
          <w:sz w:val="24"/>
          <w:szCs w:val="24"/>
          <w:lang w:val="en-US" w:eastAsia="zh-CN"/>
        </w:rPr>
        <w:t>，并根据意见</w:t>
      </w:r>
      <w:r>
        <w:rPr>
          <w:rFonts w:hint="default" w:ascii="Times New Roman" w:hAnsi="Times New Roman" w:eastAsia="宋体" w:cs="Times New Roman"/>
          <w:sz w:val="24"/>
          <w:szCs w:val="24"/>
          <w:lang w:val="en-US" w:eastAsia="zh-CN"/>
        </w:rPr>
        <w:t>优化</w:t>
      </w:r>
      <w:r>
        <w:rPr>
          <w:rFonts w:hint="eastAsia" w:ascii="Times New Roman" w:hAnsi="Times New Roman" w:eastAsia="宋体" w:cs="Times New Roman"/>
          <w:sz w:val="24"/>
          <w:szCs w:val="24"/>
          <w:lang w:val="en-US" w:eastAsia="zh-CN"/>
        </w:rPr>
        <w:t>标准</w:t>
      </w:r>
      <w:r>
        <w:rPr>
          <w:rFonts w:hint="default" w:ascii="Times New Roman" w:hAnsi="Times New Roman" w:eastAsia="宋体" w:cs="Times New Roman"/>
          <w:sz w:val="24"/>
          <w:szCs w:val="24"/>
          <w:lang w:val="en-US" w:eastAsia="zh-CN"/>
        </w:rPr>
        <w:t>内容。</w:t>
      </w:r>
    </w:p>
    <w:p w14:paraId="247566C6">
      <w:pPr>
        <w:keepLines w:val="0"/>
        <w:pageBreakBefore w:val="0"/>
        <w:numPr>
          <w:ilvl w:val="0"/>
          <w:numId w:val="0"/>
        </w:numPr>
        <w:wordWrap/>
        <w:overflowPunct/>
        <w:topLinePunct w:val="0"/>
        <w:bidi w:val="0"/>
        <w:spacing w:line="360" w:lineRule="auto"/>
        <w:ind w:firstLine="480" w:firstLineChars="200"/>
        <w:rPr>
          <w:rFonts w:ascii="Times New Roman" w:hAnsi="Times New Roman" w:eastAsia="宋体" w:cs="Times New Roman"/>
          <w:bCs/>
          <w:sz w:val="24"/>
          <w:szCs w:val="24"/>
        </w:rPr>
      </w:pPr>
      <w:r>
        <w:rPr>
          <w:rFonts w:hint="eastAsia" w:ascii="Times New Roman" w:hAnsi="Times New Roman" w:eastAsia="宋体" w:cs="Times New Roman"/>
          <w:bCs/>
          <w:kern w:val="2"/>
          <w:sz w:val="24"/>
          <w:szCs w:val="24"/>
          <w:lang w:val="en-US" w:eastAsia="zh-CN" w:bidi="ar-SA"/>
        </w:rPr>
        <w:t>5</w:t>
      </w:r>
      <w:r>
        <w:rPr>
          <w:rFonts w:ascii="Times New Roman" w:hAnsi="Times New Roman" w:eastAsia="宋体" w:cs="Times New Roman"/>
          <w:bCs/>
          <w:kern w:val="2"/>
          <w:sz w:val="24"/>
          <w:szCs w:val="24"/>
          <w:lang w:val="en-US" w:eastAsia="zh-CN" w:bidi="ar-SA"/>
        </w:rPr>
        <w:t>、</w:t>
      </w:r>
      <w:r>
        <w:rPr>
          <w:rFonts w:ascii="Times New Roman" w:hAnsi="Times New Roman" w:eastAsia="宋体" w:cs="Times New Roman"/>
          <w:bCs/>
          <w:sz w:val="24"/>
          <w:szCs w:val="24"/>
        </w:rPr>
        <w:t>讨论会：202</w:t>
      </w:r>
      <w:r>
        <w:rPr>
          <w:rFonts w:hint="eastAsia" w:ascii="Times New Roman" w:hAnsi="Times New Roman" w:eastAsia="宋体" w:cs="Times New Roman"/>
          <w:bCs/>
          <w:sz w:val="24"/>
          <w:szCs w:val="24"/>
          <w:lang w:val="en-US" w:eastAsia="zh-CN"/>
        </w:rPr>
        <w:t>6</w:t>
      </w:r>
      <w:r>
        <w:rPr>
          <w:rFonts w:ascii="Times New Roman" w:hAnsi="Times New Roman" w:eastAsia="宋体" w:cs="Times New Roman"/>
          <w:bCs/>
          <w:sz w:val="24"/>
          <w:szCs w:val="24"/>
        </w:rPr>
        <w:t>年</w:t>
      </w:r>
      <w:r>
        <w:rPr>
          <w:rFonts w:hint="eastAsia" w:ascii="Times New Roman" w:hAnsi="Times New Roman" w:eastAsia="宋体" w:cs="Times New Roman"/>
          <w:bCs/>
          <w:sz w:val="24"/>
          <w:szCs w:val="24"/>
          <w:lang w:val="en-US" w:eastAsia="zh-CN"/>
        </w:rPr>
        <w:t>10</w:t>
      </w:r>
      <w:r>
        <w:rPr>
          <w:rFonts w:ascii="Times New Roman" w:hAnsi="Times New Roman" w:eastAsia="宋体" w:cs="Times New Roman"/>
          <w:bCs/>
          <w:sz w:val="24"/>
          <w:szCs w:val="24"/>
        </w:rPr>
        <w:t>月</w:t>
      </w:r>
      <w:r>
        <w:rPr>
          <w:rFonts w:hint="eastAsia" w:ascii="Times New Roman" w:hAnsi="Times New Roman" w:eastAsia="宋体" w:cs="Times New Roman"/>
          <w:bCs/>
          <w:sz w:val="24"/>
          <w:szCs w:val="24"/>
          <w:lang w:eastAsia="zh-CN"/>
        </w:rPr>
        <w:t>，</w:t>
      </w:r>
      <w:r>
        <w:rPr>
          <w:rFonts w:hint="default" w:ascii="Times New Roman" w:hAnsi="Times New Roman" w:eastAsia="宋体" w:cs="Times New Roman"/>
          <w:sz w:val="24"/>
          <w:szCs w:val="24"/>
          <w:lang w:val="en-US" w:eastAsia="zh-CN"/>
        </w:rPr>
        <w:t>最终编制标准送审稿并提交</w:t>
      </w:r>
      <w:r>
        <w:rPr>
          <w:rFonts w:hint="eastAsia" w:ascii="Times New Roman" w:hAnsi="Times New Roman" w:eastAsia="宋体" w:cs="Times New Roman"/>
          <w:sz w:val="24"/>
          <w:szCs w:val="24"/>
          <w:lang w:val="en-US" w:eastAsia="zh-CN"/>
        </w:rPr>
        <w:t>全国肥料标委会</w:t>
      </w:r>
      <w:r>
        <w:rPr>
          <w:rFonts w:hint="default" w:ascii="Times New Roman" w:hAnsi="Times New Roman" w:eastAsia="宋体" w:cs="Times New Roman"/>
          <w:sz w:val="24"/>
          <w:szCs w:val="24"/>
          <w:lang w:val="en-US" w:eastAsia="zh-CN"/>
        </w:rPr>
        <w:t>审查</w:t>
      </w:r>
      <w:r>
        <w:rPr>
          <w:rFonts w:hint="eastAsia" w:ascii="Times New Roman" w:hAnsi="Times New Roman" w:eastAsia="宋体" w:cs="Times New Roman"/>
          <w:sz w:val="24"/>
          <w:szCs w:val="24"/>
          <w:lang w:val="en-US" w:eastAsia="zh-CN"/>
        </w:rPr>
        <w:t>。</w:t>
      </w:r>
    </w:p>
    <w:p w14:paraId="4807BC04">
      <w:pPr>
        <w:keepLines w:val="0"/>
        <w:pageBreakBefore w:val="0"/>
        <w:wordWrap/>
        <w:overflowPunct/>
        <w:topLinePunct w:val="0"/>
        <w:bidi w:val="0"/>
        <w:spacing w:line="360" w:lineRule="auto"/>
        <w:rPr>
          <w:rFonts w:hint="eastAsia" w:ascii="黑体" w:hAnsi="黑体" w:eastAsia="黑体"/>
          <w:sz w:val="28"/>
          <w:szCs w:val="21"/>
          <w:lang w:eastAsia="zh-CN"/>
        </w:rPr>
      </w:pPr>
      <w:r>
        <w:rPr>
          <w:rFonts w:hint="eastAsia" w:ascii="黑体" w:hAnsi="黑体" w:eastAsia="黑体"/>
          <w:sz w:val="28"/>
          <w:szCs w:val="21"/>
        </w:rPr>
        <w:t>二、标准制定原则</w:t>
      </w:r>
      <w:r>
        <w:rPr>
          <w:rFonts w:hint="eastAsia" w:ascii="黑体" w:hAnsi="黑体" w:eastAsia="黑体"/>
          <w:sz w:val="28"/>
          <w:szCs w:val="21"/>
          <w:lang w:eastAsia="zh-CN"/>
        </w:rPr>
        <w:t>、</w:t>
      </w:r>
      <w:r>
        <w:rPr>
          <w:rFonts w:hint="eastAsia" w:ascii="黑体" w:hAnsi="黑体" w:eastAsia="黑体"/>
          <w:sz w:val="28"/>
          <w:szCs w:val="21"/>
        </w:rPr>
        <w:t>主要内容及其确定依据</w:t>
      </w:r>
      <w:r>
        <w:rPr>
          <w:rFonts w:hint="eastAsia" w:ascii="黑体" w:hAnsi="黑体" w:eastAsia="黑体"/>
          <w:sz w:val="28"/>
          <w:szCs w:val="21"/>
          <w:lang w:eastAsia="zh-CN"/>
        </w:rPr>
        <w:t>、</w:t>
      </w:r>
      <w:r>
        <w:rPr>
          <w:rFonts w:hint="eastAsia" w:ascii="黑体" w:hAnsi="黑体" w:eastAsia="黑体"/>
          <w:sz w:val="28"/>
          <w:szCs w:val="21"/>
        </w:rPr>
        <w:t>修订前后技术内容对比</w:t>
      </w:r>
    </w:p>
    <w:p w14:paraId="49EC1256">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0"/>
        <w:textAlignment w:val="auto"/>
        <w:rPr>
          <w:rFonts w:ascii="宋体" w:hAnsi="宋体" w:eastAsia="宋体"/>
          <w:b/>
          <w:sz w:val="24"/>
          <w:szCs w:val="24"/>
        </w:rPr>
      </w:pPr>
      <w:r>
        <w:rPr>
          <w:rFonts w:hint="eastAsia" w:ascii="宋体" w:hAnsi="宋体" w:eastAsia="宋体"/>
          <w:b/>
          <w:sz w:val="24"/>
          <w:szCs w:val="24"/>
        </w:rPr>
        <w:t>（</w:t>
      </w:r>
      <w:r>
        <w:rPr>
          <w:rFonts w:hint="eastAsia" w:ascii="宋体" w:hAnsi="宋体" w:eastAsia="宋体"/>
          <w:b/>
          <w:sz w:val="24"/>
          <w:szCs w:val="24"/>
          <w:lang w:val="en-US" w:eastAsia="zh-CN"/>
        </w:rPr>
        <w:t>一</w:t>
      </w:r>
      <w:r>
        <w:rPr>
          <w:rFonts w:hint="eastAsia" w:ascii="宋体" w:hAnsi="宋体" w:eastAsia="宋体"/>
          <w:b/>
          <w:sz w:val="24"/>
          <w:szCs w:val="24"/>
        </w:rPr>
        <w:t>）标准编制原则</w:t>
      </w:r>
    </w:p>
    <w:p w14:paraId="1F5B1D97">
      <w:pPr>
        <w:keepLines w:val="0"/>
        <w:pageBreakBefore w:val="0"/>
        <w:wordWrap/>
        <w:overflowPunct/>
        <w:topLinePunct w:val="0"/>
        <w:bidi w:val="0"/>
        <w:spacing w:line="360" w:lineRule="auto"/>
        <w:ind w:firstLine="480" w:firstLineChars="200"/>
        <w:rPr>
          <w:rFonts w:hint="eastAsia" w:ascii="Times New Roman" w:hAnsi="Times New Roman" w:eastAsia="宋体" w:cs="Times New Roman"/>
          <w:bCs/>
          <w:sz w:val="24"/>
          <w:szCs w:val="24"/>
          <w:lang w:val="en-US" w:eastAsia="zh-CN"/>
        </w:rPr>
      </w:pPr>
      <w:r>
        <w:rPr>
          <w:rFonts w:hint="eastAsia" w:ascii="Times New Roman" w:hAnsi="Times New Roman" w:eastAsia="宋体" w:cs="Times New Roman"/>
          <w:bCs/>
          <w:sz w:val="24"/>
          <w:szCs w:val="24"/>
          <w:lang w:val="en-US" w:eastAsia="zh-CN"/>
        </w:rPr>
        <w:t>本文件按照GB/T 1.1—2020《标准化工作导则 第1部分：标准化文件的结构和起草规则》的规定起草，遵循“统一性、规范性、适用性、协调性、一致性”的原则，注重标准的实用性和可操作性。</w:t>
      </w:r>
    </w:p>
    <w:p w14:paraId="30C5BBE5">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0" w:firstLineChars="0"/>
        <w:textAlignment w:val="auto"/>
        <w:rPr>
          <w:rFonts w:hint="eastAsia"/>
          <w:b/>
          <w:bCs/>
          <w:sz w:val="24"/>
          <w:szCs w:val="24"/>
        </w:rPr>
      </w:pPr>
      <w:r>
        <w:rPr>
          <w:rFonts w:hint="eastAsia" w:asciiTheme="minorHAnsi" w:hAnsiTheme="minorHAnsi" w:eastAsiaTheme="minorEastAsia" w:cstheme="minorBidi"/>
          <w:b/>
          <w:bCs/>
          <w:kern w:val="2"/>
          <w:sz w:val="24"/>
          <w:szCs w:val="24"/>
          <w:lang w:val="en-US" w:eastAsia="zh-CN" w:bidi="ar-SA"/>
        </w:rPr>
        <w:t>（二）</w:t>
      </w:r>
      <w:r>
        <w:rPr>
          <w:rFonts w:hint="eastAsia"/>
          <w:b/>
          <w:bCs/>
          <w:sz w:val="24"/>
          <w:szCs w:val="24"/>
        </w:rPr>
        <w:t>标准主要主要内容及其确定依据</w:t>
      </w:r>
    </w:p>
    <w:p w14:paraId="47806970">
      <w:pPr>
        <w:pStyle w:val="6"/>
        <w:keepLines w:val="0"/>
        <w:pageBreakBefore w:val="0"/>
        <w:wordWrap/>
        <w:overflowPunct/>
        <w:topLinePunct w:val="0"/>
        <w:bidi w:val="0"/>
        <w:spacing w:line="360" w:lineRule="auto"/>
        <w:ind w:left="0" w:leftChars="0" w:firstLine="0" w:firstLineChars="0"/>
        <w:rPr>
          <w:rFonts w:hint="eastAsia"/>
          <w:sz w:val="24"/>
          <w:szCs w:val="24"/>
        </w:rPr>
      </w:pPr>
      <w:bookmarkStart w:id="0" w:name="_Toc17233333"/>
      <w:bookmarkStart w:id="1" w:name="_Toc24884211"/>
      <w:bookmarkStart w:id="2" w:name="_Toc26718930"/>
      <w:bookmarkStart w:id="3" w:name="_Toc26986530"/>
      <w:bookmarkStart w:id="4" w:name="_Toc26648465"/>
      <w:bookmarkStart w:id="5" w:name="_Toc26986771"/>
      <w:bookmarkStart w:id="6" w:name="_Toc17233325"/>
      <w:bookmarkStart w:id="7" w:name="_Toc97190718"/>
      <w:bookmarkStart w:id="8" w:name="_Toc24884218"/>
      <w:r>
        <w:rPr>
          <w:rFonts w:hint="eastAsia"/>
          <w:sz w:val="24"/>
          <w:szCs w:val="24"/>
          <w:lang w:val="en-US" w:eastAsia="zh-CN"/>
        </w:rPr>
        <w:t xml:space="preserve">1 </w:t>
      </w:r>
      <w:r>
        <w:rPr>
          <w:rFonts w:hint="eastAsia"/>
          <w:sz w:val="24"/>
          <w:szCs w:val="24"/>
        </w:rPr>
        <w:t>范围</w:t>
      </w:r>
      <w:bookmarkEnd w:id="0"/>
      <w:bookmarkEnd w:id="1"/>
      <w:bookmarkEnd w:id="2"/>
      <w:bookmarkEnd w:id="3"/>
      <w:bookmarkEnd w:id="4"/>
      <w:bookmarkEnd w:id="5"/>
      <w:bookmarkEnd w:id="6"/>
      <w:bookmarkEnd w:id="7"/>
      <w:bookmarkEnd w:id="8"/>
    </w:p>
    <w:p w14:paraId="48535603">
      <w:pPr>
        <w:pStyle w:val="6"/>
        <w:keepLines w:val="0"/>
        <w:pageBreakBefore w:val="0"/>
        <w:wordWrap/>
        <w:overflowPunct/>
        <w:topLinePunct w:val="0"/>
        <w:bidi w:val="0"/>
        <w:spacing w:line="360" w:lineRule="auto"/>
        <w:ind w:firstLine="420"/>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本文件规定了稳定性肥料的术语和定义、要求、试验方法、检验规则、标识、包装、运输和贮存。本文件适用于添加脲酶抑制剂和（或）硝化抑制剂的含氮肥料。</w:t>
      </w:r>
    </w:p>
    <w:p w14:paraId="40178ED3">
      <w:pPr>
        <w:pStyle w:val="6"/>
        <w:keepLines w:val="0"/>
        <w:pageBreakBefore w:val="0"/>
        <w:wordWrap/>
        <w:overflowPunct/>
        <w:topLinePunct w:val="0"/>
        <w:bidi w:val="0"/>
        <w:spacing w:line="360" w:lineRule="auto"/>
        <w:ind w:firstLine="420"/>
        <w:rPr>
          <w:rFonts w:hint="eastAsia" w:ascii="Times New Roman" w:hAnsi="Times New Roman" w:eastAsia="宋体" w:cs="Times New Roman"/>
          <w:color w:val="auto"/>
          <w:sz w:val="24"/>
          <w:szCs w:val="24"/>
          <w:lang w:val="en-US" w:eastAsia="zh-CN"/>
        </w:rPr>
      </w:pPr>
      <w:r>
        <w:rPr>
          <w:rFonts w:hint="eastAsia" w:ascii="Times New Roman" w:cs="Times New Roman"/>
          <w:color w:val="auto"/>
          <w:sz w:val="24"/>
          <w:szCs w:val="24"/>
          <w:lang w:val="en-US" w:eastAsia="zh-CN"/>
        </w:rPr>
        <w:t>注1：</w:t>
      </w:r>
      <w:r>
        <w:rPr>
          <w:rFonts w:hint="eastAsia" w:ascii="Times New Roman" w:hAnsi="Times New Roman" w:eastAsia="宋体" w:cs="Times New Roman"/>
          <w:color w:val="auto"/>
          <w:sz w:val="24"/>
          <w:szCs w:val="24"/>
          <w:lang w:val="en-US" w:eastAsia="zh-CN"/>
        </w:rPr>
        <w:t>含氮指必须包括酰胺态氮和铵态氮中的任意一种或两种。</w:t>
      </w:r>
    </w:p>
    <w:p w14:paraId="62CF1768">
      <w:pPr>
        <w:pStyle w:val="6"/>
        <w:keepLines w:val="0"/>
        <w:pageBreakBefore w:val="0"/>
        <w:wordWrap/>
        <w:overflowPunct/>
        <w:topLinePunct w:val="0"/>
        <w:bidi w:val="0"/>
        <w:spacing w:line="360" w:lineRule="auto"/>
        <w:ind w:firstLine="420"/>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注</w:t>
      </w:r>
      <w:r>
        <w:rPr>
          <w:rFonts w:hint="eastAsia" w:ascii="Times New Roman" w:cs="Times New Roman"/>
          <w:color w:val="auto"/>
          <w:sz w:val="24"/>
          <w:szCs w:val="24"/>
          <w:lang w:val="en-US" w:eastAsia="zh-CN"/>
        </w:rPr>
        <w:t>2</w:t>
      </w:r>
      <w:r>
        <w:rPr>
          <w:rFonts w:hint="eastAsia" w:ascii="Times New Roman" w:hAnsi="Times New Roman" w:eastAsia="宋体" w:cs="Times New Roman"/>
          <w:color w:val="auto"/>
          <w:sz w:val="24"/>
          <w:szCs w:val="24"/>
          <w:lang w:val="en-US" w:eastAsia="zh-CN"/>
        </w:rPr>
        <w:t>：添加脲酶抑制剂的肥料应含尿素。</w:t>
      </w:r>
    </w:p>
    <w:p w14:paraId="5170B0C4">
      <w:pPr>
        <w:pStyle w:val="6"/>
        <w:keepLines w:val="0"/>
        <w:pageBreakBefore w:val="0"/>
        <w:wordWrap/>
        <w:overflowPunct/>
        <w:topLinePunct w:val="0"/>
        <w:bidi w:val="0"/>
        <w:spacing w:line="360" w:lineRule="auto"/>
        <w:ind w:firstLine="420"/>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本文件规定的三种类型（脲酶抑制型、硝化抑制型、复合型）稳定性肥料均包括单质氮肥、复合肥料和掺混肥料等形态。</w:t>
      </w:r>
    </w:p>
    <w:p w14:paraId="46B0BA15">
      <w:pPr>
        <w:pStyle w:val="6"/>
        <w:keepLines w:val="0"/>
        <w:pageBreakBefore w:val="0"/>
        <w:wordWrap/>
        <w:overflowPunct/>
        <w:topLinePunct w:val="0"/>
        <w:bidi w:val="0"/>
        <w:spacing w:line="360" w:lineRule="auto"/>
        <w:ind w:firstLine="420"/>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本文件不适用于通过改变肥料结构或颗粒外包膜生产的肥料，也不适用于氮源仅为硝态氮的肥料。</w:t>
      </w:r>
    </w:p>
    <w:p w14:paraId="6CAB729B">
      <w:pPr>
        <w:keepLines w:val="0"/>
        <w:pageBreakBefore w:val="0"/>
        <w:wordWrap/>
        <w:overflowPunct/>
        <w:topLinePunct w:val="0"/>
        <w:bidi w:val="0"/>
        <w:spacing w:line="360" w:lineRule="auto"/>
        <w:rPr>
          <w:rFonts w:ascii="Times New Roman" w:hAnsi="Times New Roman" w:eastAsia="宋体" w:cs="Times New Roman"/>
          <w:bCs/>
          <w:sz w:val="24"/>
          <w:szCs w:val="24"/>
        </w:rPr>
      </w:pPr>
      <w:r>
        <w:rPr>
          <w:rFonts w:hint="eastAsia" w:ascii="Times New Roman" w:hAnsi="Times New Roman" w:eastAsia="宋体" w:cs="Times New Roman"/>
          <w:bCs/>
          <w:sz w:val="24"/>
          <w:szCs w:val="24"/>
          <w:lang w:val="en-US" w:eastAsia="zh-CN"/>
        </w:rPr>
        <w:t xml:space="preserve">2 </w:t>
      </w:r>
      <w:r>
        <w:rPr>
          <w:rFonts w:ascii="Times New Roman" w:hAnsi="Times New Roman" w:eastAsia="宋体" w:cs="Times New Roman"/>
          <w:bCs/>
          <w:sz w:val="24"/>
          <w:szCs w:val="24"/>
        </w:rPr>
        <w:t>规范性引用文件</w:t>
      </w:r>
    </w:p>
    <w:p w14:paraId="2007BEC8">
      <w:pPr>
        <w:pStyle w:val="6"/>
        <w:keepLines w:val="0"/>
        <w:pageBreakBefore w:val="0"/>
        <w:wordWrap/>
        <w:overflowPunct/>
        <w:topLinePunct w:val="0"/>
        <w:bidi w:val="0"/>
        <w:spacing w:line="360" w:lineRule="auto"/>
        <w:ind w:firstLine="420"/>
        <w:rPr>
          <w:rFonts w:hint="eastAsia" w:ascii="Times New Roman" w:hAnsi="Times New Roman" w:eastAsia="宋体" w:cs="Times New Roman"/>
          <w:color w:val="auto"/>
          <w:sz w:val="24"/>
          <w:szCs w:val="24"/>
          <w:lang w:val="en-US" w:eastAsia="zh-CN"/>
        </w:rPr>
      </w:pPr>
      <w:bookmarkStart w:id="9" w:name="OLE_LINK1"/>
      <w:r>
        <w:rPr>
          <w:rFonts w:hint="eastAsia" w:ascii="Times New Roman" w:hAnsi="Times New Roman" w:eastAsia="宋体" w:cs="Times New Roman"/>
          <w:color w:val="auto"/>
          <w:sz w:val="24"/>
          <w:szCs w:val="24"/>
          <w:lang w:val="en-US" w:eastAsia="zh-CN"/>
        </w:rPr>
        <w:t xml:space="preserve">GB/T 3597  肥料中硝态氮含量的测定 氮试剂重量法 </w:t>
      </w:r>
    </w:p>
    <w:p w14:paraId="664CB966">
      <w:pPr>
        <w:pStyle w:val="6"/>
        <w:keepLines w:val="0"/>
        <w:pageBreakBefore w:val="0"/>
        <w:wordWrap/>
        <w:overflowPunct/>
        <w:topLinePunct w:val="0"/>
        <w:bidi w:val="0"/>
        <w:spacing w:line="360" w:lineRule="auto"/>
        <w:ind w:firstLine="420"/>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GB/T 6678  化工产品采样总则</w:t>
      </w:r>
    </w:p>
    <w:p w14:paraId="28715F03">
      <w:pPr>
        <w:pStyle w:val="6"/>
        <w:keepLines w:val="0"/>
        <w:pageBreakBefore w:val="0"/>
        <w:wordWrap/>
        <w:overflowPunct/>
        <w:topLinePunct w:val="0"/>
        <w:bidi w:val="0"/>
        <w:spacing w:line="360" w:lineRule="auto"/>
        <w:ind w:firstLine="420"/>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GB/T 6679  固体化工产品采样通则</w:t>
      </w:r>
    </w:p>
    <w:p w14:paraId="2056D194">
      <w:pPr>
        <w:pStyle w:val="6"/>
        <w:keepLines w:val="0"/>
        <w:pageBreakBefore w:val="0"/>
        <w:wordWrap/>
        <w:overflowPunct/>
        <w:topLinePunct w:val="0"/>
        <w:bidi w:val="0"/>
        <w:spacing w:line="360" w:lineRule="auto"/>
        <w:ind w:firstLine="420"/>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GB/T 6680  液体化工产品采样通则</w:t>
      </w:r>
    </w:p>
    <w:p w14:paraId="3DB2EC4A">
      <w:pPr>
        <w:pStyle w:val="6"/>
        <w:keepLines w:val="0"/>
        <w:pageBreakBefore w:val="0"/>
        <w:wordWrap/>
        <w:overflowPunct/>
        <w:topLinePunct w:val="0"/>
        <w:bidi w:val="0"/>
        <w:spacing w:line="360" w:lineRule="auto"/>
        <w:ind w:firstLine="420"/>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GB/T 8170  数值修约规则与极限数值的表示和判定</w:t>
      </w:r>
    </w:p>
    <w:p w14:paraId="141F9E57">
      <w:pPr>
        <w:pStyle w:val="6"/>
        <w:keepLines w:val="0"/>
        <w:pageBreakBefore w:val="0"/>
        <w:wordWrap/>
        <w:overflowPunct/>
        <w:topLinePunct w:val="0"/>
        <w:bidi w:val="0"/>
        <w:spacing w:line="360" w:lineRule="auto"/>
        <w:ind w:firstLine="420"/>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GB/T 8569  固体化学肥料包装</w:t>
      </w:r>
    </w:p>
    <w:p w14:paraId="5FE0D51D">
      <w:pPr>
        <w:pStyle w:val="6"/>
        <w:keepLines w:val="0"/>
        <w:pageBreakBefore w:val="0"/>
        <w:wordWrap/>
        <w:overflowPunct/>
        <w:topLinePunct w:val="0"/>
        <w:bidi w:val="0"/>
        <w:spacing w:line="360" w:lineRule="auto"/>
        <w:ind w:firstLine="420"/>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GB 18382  肥料标识 内容和要求</w:t>
      </w:r>
    </w:p>
    <w:p w14:paraId="38469BE6">
      <w:pPr>
        <w:pStyle w:val="6"/>
        <w:keepLines w:val="0"/>
        <w:pageBreakBefore w:val="0"/>
        <w:wordWrap/>
        <w:overflowPunct/>
        <w:topLinePunct w:val="0"/>
        <w:bidi w:val="0"/>
        <w:spacing w:line="360" w:lineRule="auto"/>
        <w:ind w:firstLine="420"/>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GB/T 21633  掺混肥料（BB肥）</w:t>
      </w:r>
    </w:p>
    <w:p w14:paraId="4FEEBC17">
      <w:pPr>
        <w:pStyle w:val="6"/>
        <w:keepLines w:val="0"/>
        <w:pageBreakBefore w:val="0"/>
        <w:wordWrap/>
        <w:overflowPunct/>
        <w:topLinePunct w:val="0"/>
        <w:bidi w:val="0"/>
        <w:spacing w:line="360" w:lineRule="auto"/>
        <w:ind w:firstLine="420"/>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GB/T 22923  肥料中氮、磷、钾的自动分析仪测定法</w:t>
      </w:r>
    </w:p>
    <w:p w14:paraId="74591658">
      <w:pPr>
        <w:pStyle w:val="6"/>
        <w:keepLines w:val="0"/>
        <w:pageBreakBefore w:val="0"/>
        <w:wordWrap/>
        <w:overflowPunct/>
        <w:topLinePunct w:val="0"/>
        <w:bidi w:val="0"/>
        <w:spacing w:line="360" w:lineRule="auto"/>
        <w:ind w:firstLine="420"/>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GB/T 41223  土壤质量 硝化潜势和硝化抑制作用的测定 氨氧化快速检测法</w:t>
      </w:r>
    </w:p>
    <w:p w14:paraId="7890E0EB">
      <w:pPr>
        <w:pStyle w:val="6"/>
        <w:keepLines w:val="0"/>
        <w:pageBreakBefore w:val="0"/>
        <w:wordWrap/>
        <w:overflowPunct/>
        <w:topLinePunct w:val="0"/>
        <w:bidi w:val="0"/>
        <w:spacing w:line="360" w:lineRule="auto"/>
        <w:ind w:firstLine="420"/>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GB/T 42485  土壤质量 土壤硝态氮、亚硝态氮和铵态氮的测定 氯化钾溶液浸提手工分析法</w:t>
      </w:r>
    </w:p>
    <w:p w14:paraId="2D822778">
      <w:pPr>
        <w:pStyle w:val="6"/>
        <w:keepLines w:val="0"/>
        <w:pageBreakBefore w:val="0"/>
        <w:wordWrap/>
        <w:overflowPunct/>
        <w:topLinePunct w:val="0"/>
        <w:bidi w:val="0"/>
        <w:spacing w:line="360" w:lineRule="auto"/>
        <w:ind w:firstLine="420"/>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GB/T 42955  肥料中总氮含量的测定 杜马斯燃烧法</w:t>
      </w:r>
    </w:p>
    <w:p w14:paraId="691188F6">
      <w:pPr>
        <w:pStyle w:val="6"/>
        <w:keepLines w:val="0"/>
        <w:pageBreakBefore w:val="0"/>
        <w:wordWrap/>
        <w:overflowPunct/>
        <w:topLinePunct w:val="0"/>
        <w:bidi w:val="0"/>
        <w:spacing w:line="360" w:lineRule="auto"/>
        <w:ind w:firstLine="420"/>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 xml:space="preserve">GB/T 46742  肥料中正丁基硫代磷酰三胺和双氰胺的同时测定 高效液相色谱法 </w:t>
      </w:r>
    </w:p>
    <w:p w14:paraId="4599035B">
      <w:pPr>
        <w:pStyle w:val="6"/>
        <w:keepLines w:val="0"/>
        <w:pageBreakBefore w:val="0"/>
        <w:wordWrap/>
        <w:overflowPunct/>
        <w:topLinePunct w:val="0"/>
        <w:bidi w:val="0"/>
        <w:spacing w:line="360" w:lineRule="auto"/>
        <w:ind w:firstLine="420"/>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GB/T 8572   复混肥料中总氮含量的测定 蒸馏后滴定法</w:t>
      </w:r>
    </w:p>
    <w:p w14:paraId="1C0A1FB6">
      <w:pPr>
        <w:pStyle w:val="6"/>
        <w:keepLines w:val="0"/>
        <w:pageBreakBefore w:val="0"/>
        <w:wordWrap/>
        <w:overflowPunct/>
        <w:topLinePunct w:val="0"/>
        <w:bidi w:val="0"/>
        <w:spacing w:line="360" w:lineRule="auto"/>
        <w:ind w:firstLine="420"/>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HG/T 2843  化肥产品 化学分析中常用标准滴定溶液、标准溶液、试剂溶液和指示剂溶液</w:t>
      </w:r>
    </w:p>
    <w:p w14:paraId="6035CEB1">
      <w:pPr>
        <w:pStyle w:val="6"/>
        <w:keepLines w:val="0"/>
        <w:pageBreakBefore w:val="0"/>
        <w:wordWrap/>
        <w:overflowPunct/>
        <w:topLinePunct w:val="0"/>
        <w:bidi w:val="0"/>
        <w:spacing w:line="360" w:lineRule="auto"/>
        <w:ind w:firstLine="420"/>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NY/T 1121.1 土壤检测 第1部分：土壤样品的采集、处理和贮存</w:t>
      </w:r>
    </w:p>
    <w:p w14:paraId="08FAFC49">
      <w:pPr>
        <w:pStyle w:val="6"/>
        <w:keepLines w:val="0"/>
        <w:pageBreakBefore w:val="0"/>
        <w:wordWrap/>
        <w:overflowPunct/>
        <w:topLinePunct w:val="0"/>
        <w:bidi w:val="0"/>
        <w:spacing w:line="360" w:lineRule="auto"/>
        <w:ind w:firstLine="420"/>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NY/T 2877  肥料增效剂 双氰胺含量的测定</w:t>
      </w:r>
    </w:p>
    <w:p w14:paraId="1FAD39E3">
      <w:pPr>
        <w:pStyle w:val="6"/>
        <w:keepLines w:val="0"/>
        <w:pageBreakBefore w:val="0"/>
        <w:wordWrap/>
        <w:overflowPunct/>
        <w:topLinePunct w:val="0"/>
        <w:bidi w:val="0"/>
        <w:spacing w:line="360" w:lineRule="auto"/>
        <w:ind w:firstLine="420"/>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NY/T 3038  肥料增效剂 正丁基硫代磷酰三胺（NBPT）和正丙基硫代磷酰三胺（NPPT）含量的测定</w:t>
      </w:r>
    </w:p>
    <w:p w14:paraId="53928A3D">
      <w:pPr>
        <w:pStyle w:val="6"/>
        <w:keepLines w:val="0"/>
        <w:pageBreakBefore w:val="0"/>
        <w:wordWrap/>
        <w:overflowPunct/>
        <w:topLinePunct w:val="0"/>
        <w:bidi w:val="0"/>
        <w:spacing w:line="360" w:lineRule="auto"/>
        <w:ind w:firstLine="420"/>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NY/T 3423 肥料增效剂 3,4 - 二甲基吡唑磷酸盐（DMPP）含量的测定</w:t>
      </w:r>
    </w:p>
    <w:p w14:paraId="29D54AF8">
      <w:pPr>
        <w:pStyle w:val="6"/>
        <w:keepLines w:val="0"/>
        <w:pageBreakBefore w:val="0"/>
        <w:wordWrap/>
        <w:overflowPunct/>
        <w:topLinePunct w:val="0"/>
        <w:bidi w:val="0"/>
        <w:spacing w:line="360" w:lineRule="auto"/>
        <w:ind w:firstLine="420"/>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NY/T 52 土壤水分测定法</w:t>
      </w:r>
    </w:p>
    <w:p w14:paraId="61950D05">
      <w:pPr>
        <w:pStyle w:val="6"/>
        <w:keepLines w:val="0"/>
        <w:pageBreakBefore w:val="0"/>
        <w:wordWrap/>
        <w:overflowPunct/>
        <w:topLinePunct w:val="0"/>
        <w:bidi w:val="0"/>
        <w:spacing w:line="360" w:lineRule="auto"/>
        <w:ind w:firstLine="420"/>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ISO 19746 尿素基肥料中尿素含量的测定高效液相色谱法（HPLC）（Determination of urea content in urea-based fertilizers by high performacne liquid chromatography (HPLC)）</w:t>
      </w:r>
    </w:p>
    <w:bookmarkEnd w:id="9"/>
    <w:p w14:paraId="7DE20CE2">
      <w:pPr>
        <w:pStyle w:val="6"/>
        <w:keepLines w:val="0"/>
        <w:pageBreakBefore w:val="0"/>
        <w:wordWrap/>
        <w:overflowPunct/>
        <w:topLinePunct w:val="0"/>
        <w:bidi w:val="0"/>
        <w:spacing w:line="360" w:lineRule="auto"/>
        <w:ind w:left="0" w:leftChars="0" w:firstLine="0" w:firstLineChars="0"/>
        <w:rPr>
          <w:rFonts w:hint="eastAsia"/>
          <w:sz w:val="24"/>
          <w:szCs w:val="24"/>
        </w:rPr>
      </w:pPr>
      <w:r>
        <w:rPr>
          <w:rFonts w:hint="eastAsia"/>
          <w:sz w:val="24"/>
          <w:szCs w:val="24"/>
          <w:lang w:val="en-US" w:eastAsia="zh-CN"/>
        </w:rPr>
        <w:t xml:space="preserve">3 </w:t>
      </w:r>
      <w:r>
        <w:rPr>
          <w:rFonts w:hint="eastAsia"/>
          <w:sz w:val="24"/>
          <w:szCs w:val="24"/>
        </w:rPr>
        <w:t>术语和定义</w:t>
      </w:r>
    </w:p>
    <w:p w14:paraId="7F13CB9C">
      <w:pPr>
        <w:pStyle w:val="6"/>
        <w:keepNext w:val="0"/>
        <w:keepLines w:val="0"/>
        <w:pageBreakBefore w:val="0"/>
        <w:kinsoku/>
        <w:wordWrap/>
        <w:overflowPunct/>
        <w:topLinePunct w:val="0"/>
        <w:bidi w:val="0"/>
        <w:adjustRightInd/>
        <w:snapToGrid/>
        <w:spacing w:line="360" w:lineRule="auto"/>
        <w:ind w:left="0" w:leftChars="0" w:firstLine="0" w:firstLineChars="0"/>
        <w:textAlignment w:val="auto"/>
        <w:rPr>
          <w:rFonts w:hint="default"/>
          <w:sz w:val="24"/>
          <w:szCs w:val="24"/>
          <w:lang w:val="en-US" w:eastAsia="zh-CN"/>
        </w:rPr>
      </w:pPr>
      <w:r>
        <w:rPr>
          <w:rFonts w:hint="eastAsia"/>
          <w:sz w:val="24"/>
          <w:szCs w:val="24"/>
          <w:lang w:val="en-US" w:eastAsia="zh-CN"/>
        </w:rPr>
        <w:t xml:space="preserve">3.1 稳定性肥料 </w:t>
      </w:r>
      <w:r>
        <w:rPr>
          <w:rFonts w:hint="eastAsia" w:asciiTheme="minorHAnsi" w:hAnsiTheme="minorHAnsi" w:eastAsiaTheme="minorEastAsia" w:cstheme="minorBidi"/>
          <w:kern w:val="2"/>
          <w:sz w:val="24"/>
          <w:szCs w:val="24"/>
          <w:lang w:val="en-US" w:eastAsia="zh-CN" w:bidi="ar-SA"/>
        </w:rPr>
        <w:t>stablized fertilizer</w:t>
      </w:r>
    </w:p>
    <w:p w14:paraId="2503892A">
      <w:pPr>
        <w:pStyle w:val="6"/>
        <w:keepNext w:val="0"/>
        <w:keepLines w:val="0"/>
        <w:pageBreakBefore w:val="0"/>
        <w:kinsoku/>
        <w:wordWrap/>
        <w:overflowPunct/>
        <w:topLinePunct w:val="0"/>
        <w:bidi w:val="0"/>
        <w:adjustRightInd/>
        <w:snapToGrid/>
        <w:spacing w:line="360" w:lineRule="auto"/>
        <w:ind w:firstLine="420"/>
        <w:textAlignment w:val="auto"/>
        <w:rPr>
          <w:rFonts w:hint="eastAsia" w:asciiTheme="minorHAnsi" w:hAnsiTheme="minorHAnsi" w:eastAsiaTheme="minorEastAsia" w:cstheme="minorBidi"/>
          <w:kern w:val="2"/>
          <w:sz w:val="24"/>
          <w:szCs w:val="24"/>
          <w:lang w:val="en-US" w:eastAsia="zh-CN" w:bidi="ar-SA"/>
        </w:rPr>
      </w:pPr>
      <w:r>
        <w:rPr>
          <w:rFonts w:hint="eastAsia" w:asciiTheme="minorHAnsi" w:hAnsiTheme="minorHAnsi" w:eastAsiaTheme="minorEastAsia" w:cstheme="minorBidi"/>
          <w:kern w:val="2"/>
          <w:sz w:val="24"/>
          <w:szCs w:val="24"/>
          <w:lang w:val="en-US" w:eastAsia="zh-CN" w:bidi="ar-SA"/>
        </w:rPr>
        <w:t>经过一定工艺加入脲酶抑制剂和（或）硝化抑制剂，施入土壤后能通过脲酶抑制剂抑制尿素的水解，和（或）通过硝化抑制剂抑制铵态氮的硝化，使肥效期得到延长的一类含氮肥料（包括含氮的二元或三元肥料和单质氮肥）。</w:t>
      </w:r>
    </w:p>
    <w:p w14:paraId="05E48FCD">
      <w:pPr>
        <w:pStyle w:val="10"/>
        <w:keepNext w:val="0"/>
        <w:keepLines w:val="0"/>
        <w:pageBreakBefore w:val="0"/>
        <w:numPr>
          <w:ilvl w:val="2"/>
          <w:numId w:val="0"/>
        </w:numPr>
        <w:kinsoku/>
        <w:wordWrap/>
        <w:overflowPunct/>
        <w:topLinePunct w:val="0"/>
        <w:bidi w:val="0"/>
        <w:adjustRightInd/>
        <w:snapToGrid/>
        <w:spacing w:line="360" w:lineRule="auto"/>
        <w:ind w:leftChars="-200" w:firstLine="480" w:firstLineChars="200"/>
        <w:textAlignment w:val="auto"/>
        <w:rPr>
          <w:rFonts w:hint="eastAsia" w:ascii="宋体" w:hAnsi="Times New Roman" w:eastAsia="宋体" w:cs="Times New Roman"/>
          <w:sz w:val="24"/>
          <w:szCs w:val="24"/>
          <w:lang w:val="en-US" w:eastAsia="zh-CN" w:bidi="ar-SA"/>
        </w:rPr>
      </w:pPr>
      <w:r>
        <w:rPr>
          <w:rFonts w:hint="eastAsia" w:ascii="宋体" w:hAnsi="Times New Roman" w:eastAsia="宋体" w:cs="Times New Roman"/>
          <w:sz w:val="24"/>
          <w:szCs w:val="24"/>
          <w:lang w:val="en-US" w:eastAsia="zh-CN" w:bidi="ar-SA"/>
        </w:rPr>
        <w:t>3.2 脲酶抑制型（Ⅰ型）稳定性肥料 urease inhibited type（Ⅰtype）stabilized fertilizer</w:t>
      </w:r>
    </w:p>
    <w:p w14:paraId="15543860">
      <w:pPr>
        <w:pStyle w:val="6"/>
        <w:keepNext w:val="0"/>
        <w:keepLines w:val="0"/>
        <w:pageBreakBefore w:val="0"/>
        <w:kinsoku/>
        <w:wordWrap/>
        <w:overflowPunct/>
        <w:topLinePunct w:val="0"/>
        <w:bidi w:val="0"/>
        <w:adjustRightInd/>
        <w:snapToGrid/>
        <w:spacing w:line="360" w:lineRule="auto"/>
        <w:ind w:firstLine="420"/>
        <w:textAlignment w:val="auto"/>
        <w:rPr>
          <w:rFonts w:hint="eastAsia" w:ascii="宋体" w:hAnsi="Times New Roman" w:eastAsia="宋体" w:cs="Times New Roman"/>
          <w:sz w:val="24"/>
          <w:szCs w:val="24"/>
          <w:lang w:val="en-US" w:eastAsia="zh-CN" w:bidi="ar-SA"/>
        </w:rPr>
      </w:pPr>
      <w:r>
        <w:rPr>
          <w:rFonts w:hint="eastAsia" w:ascii="宋体" w:hAnsi="Times New Roman" w:eastAsia="宋体" w:cs="Times New Roman"/>
          <w:sz w:val="24"/>
          <w:szCs w:val="24"/>
          <w:lang w:val="en-US" w:eastAsia="zh-CN" w:bidi="ar-SA"/>
        </w:rPr>
        <w:t>在生产中只添加脲酶抑制剂的稳定性肥料，主要包括尿素和以尿素为氮源的二元或三元肥料。</w:t>
      </w:r>
    </w:p>
    <w:p w14:paraId="5B036522">
      <w:pPr>
        <w:pStyle w:val="10"/>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Times New Roman" w:eastAsia="宋体" w:cs="Times New Roman"/>
          <w:sz w:val="24"/>
          <w:szCs w:val="24"/>
          <w:lang w:val="en-US" w:eastAsia="zh-CN" w:bidi="ar-SA"/>
        </w:rPr>
      </w:pPr>
      <w:r>
        <w:rPr>
          <w:rFonts w:hint="eastAsia" w:ascii="宋体" w:hAnsi="Times New Roman" w:eastAsia="宋体" w:cs="Times New Roman"/>
          <w:sz w:val="24"/>
          <w:szCs w:val="24"/>
          <w:lang w:val="en-US" w:eastAsia="zh-CN" w:bidi="ar-SA"/>
        </w:rPr>
        <w:t>3.3</w:t>
      </w:r>
      <w:r>
        <w:rPr>
          <w:rFonts w:hint="eastAsia" w:cs="Times New Roman"/>
          <w:sz w:val="24"/>
          <w:szCs w:val="24"/>
          <w:lang w:val="en-US" w:eastAsia="zh-CN" w:bidi="ar-SA"/>
        </w:rPr>
        <w:t xml:space="preserve"> </w:t>
      </w:r>
      <w:r>
        <w:rPr>
          <w:rFonts w:hint="eastAsia" w:ascii="宋体" w:hAnsi="Times New Roman" w:eastAsia="宋体" w:cs="Times New Roman"/>
          <w:sz w:val="24"/>
          <w:szCs w:val="24"/>
          <w:lang w:val="en-US" w:eastAsia="zh-CN" w:bidi="ar-SA"/>
        </w:rPr>
        <w:t>硝化抑制型（Ⅱ型）稳定性肥料 nitrification inhibited type（Ⅱtype）stabilized fertilizer</w:t>
      </w:r>
    </w:p>
    <w:p w14:paraId="2C4BB447">
      <w:pPr>
        <w:pStyle w:val="11"/>
        <w:keepNext w:val="0"/>
        <w:keepLines w:val="0"/>
        <w:pageBreakBefore w:val="0"/>
        <w:kinsoku/>
        <w:wordWrap/>
        <w:overflowPunct/>
        <w:topLinePunct w:val="0"/>
        <w:bidi w:val="0"/>
        <w:adjustRightInd/>
        <w:snapToGrid/>
        <w:spacing w:line="360" w:lineRule="auto"/>
        <w:textAlignment w:val="auto"/>
        <w:rPr>
          <w:rFonts w:hint="eastAsia" w:ascii="宋体" w:hAnsi="Times New Roman" w:eastAsia="宋体" w:cs="Times New Roman"/>
          <w:sz w:val="24"/>
          <w:szCs w:val="24"/>
          <w:lang w:val="en-US" w:eastAsia="zh-CN" w:bidi="ar-SA"/>
        </w:rPr>
      </w:pPr>
      <w:r>
        <w:rPr>
          <w:rFonts w:hint="eastAsia" w:ascii="宋体" w:hAnsi="Times New Roman" w:eastAsia="宋体" w:cs="Times New Roman"/>
          <w:sz w:val="24"/>
          <w:szCs w:val="24"/>
          <w:lang w:val="en-US" w:eastAsia="zh-CN" w:bidi="ar-SA"/>
        </w:rPr>
        <w:t>在生产中只添加硝化抑制剂的稳定性肥料，主要包括以氯化铵、硫酸铵、碳酸氢铵和硝酸铵等为氮源的单质氮肥、复合肥料和掺混肥料或者单质氮肥和复混肥料。</w:t>
      </w:r>
    </w:p>
    <w:p w14:paraId="6F4FC2FC">
      <w:pPr>
        <w:pStyle w:val="10"/>
        <w:keepNext w:val="0"/>
        <w:keepLines w:val="0"/>
        <w:pageBreakBefore w:val="0"/>
        <w:numPr>
          <w:ilvl w:val="2"/>
          <w:numId w:val="0"/>
        </w:numPr>
        <w:kinsoku/>
        <w:wordWrap/>
        <w:overflowPunct/>
        <w:topLinePunct w:val="0"/>
        <w:bidi w:val="0"/>
        <w:adjustRightInd/>
        <w:snapToGrid/>
        <w:spacing w:line="360" w:lineRule="auto"/>
        <w:ind w:left="-210" w:leftChars="-100" w:firstLine="240" w:firstLineChars="100"/>
        <w:textAlignment w:val="auto"/>
        <w:rPr>
          <w:rFonts w:hint="eastAsia" w:ascii="宋体" w:hAnsi="Times New Roman" w:eastAsia="宋体" w:cs="Times New Roman"/>
          <w:sz w:val="24"/>
          <w:szCs w:val="24"/>
          <w:lang w:val="en-US" w:eastAsia="zh-CN" w:bidi="ar-SA"/>
        </w:rPr>
      </w:pPr>
      <w:r>
        <w:rPr>
          <w:rFonts w:hint="eastAsia" w:ascii="宋体" w:hAnsi="Times New Roman" w:eastAsia="宋体" w:cs="Times New Roman"/>
          <w:sz w:val="24"/>
          <w:szCs w:val="24"/>
          <w:lang w:val="en-US" w:eastAsia="zh-CN" w:bidi="ar-SA"/>
        </w:rPr>
        <w:t>3.4</w:t>
      </w:r>
      <w:r>
        <w:rPr>
          <w:rFonts w:hint="eastAsia" w:cs="Times New Roman"/>
          <w:sz w:val="24"/>
          <w:szCs w:val="24"/>
          <w:lang w:val="en-US" w:eastAsia="zh-CN" w:bidi="ar-SA"/>
        </w:rPr>
        <w:t xml:space="preserve"> </w:t>
      </w:r>
      <w:r>
        <w:rPr>
          <w:rFonts w:hint="eastAsia" w:ascii="宋体" w:hAnsi="Times New Roman" w:eastAsia="宋体" w:cs="Times New Roman"/>
          <w:sz w:val="24"/>
          <w:szCs w:val="24"/>
          <w:lang w:val="en-US" w:eastAsia="zh-CN" w:bidi="ar-SA"/>
        </w:rPr>
        <w:t xml:space="preserve">复合型（Ⅲ型）稳定性肥料 compound type（Ⅲtype）stabilized fertilizer  </w:t>
      </w:r>
    </w:p>
    <w:p w14:paraId="088021DE">
      <w:pPr>
        <w:pStyle w:val="11"/>
        <w:keepNext w:val="0"/>
        <w:keepLines w:val="0"/>
        <w:pageBreakBefore w:val="0"/>
        <w:kinsoku/>
        <w:wordWrap/>
        <w:overflowPunct/>
        <w:topLinePunct w:val="0"/>
        <w:bidi w:val="0"/>
        <w:adjustRightInd/>
        <w:snapToGrid/>
        <w:spacing w:line="360" w:lineRule="auto"/>
        <w:textAlignment w:val="auto"/>
        <w:rPr>
          <w:rFonts w:hint="eastAsia" w:ascii="宋体" w:hAnsi="Times New Roman" w:eastAsia="宋体" w:cs="Times New Roman"/>
          <w:sz w:val="24"/>
          <w:szCs w:val="24"/>
          <w:lang w:val="en-US" w:eastAsia="zh-CN" w:bidi="ar-SA"/>
        </w:rPr>
      </w:pPr>
      <w:r>
        <w:rPr>
          <w:rFonts w:hint="eastAsia" w:ascii="宋体" w:hAnsi="Times New Roman" w:eastAsia="宋体" w:cs="Times New Roman"/>
          <w:sz w:val="24"/>
          <w:szCs w:val="24"/>
          <w:lang w:val="en-US" w:eastAsia="zh-CN" w:bidi="ar-SA"/>
        </w:rPr>
        <w:t>在生产中同时加入脲酶抑制剂和硝化抑制剂，且氮源含有尿素的稳定性肥料。</w:t>
      </w:r>
      <w:r>
        <w:rPr>
          <w:rFonts w:hint="eastAsia" w:ascii="宋体" w:hAnsi="Times New Roman" w:eastAsia="宋体" w:cs="Times New Roman"/>
          <w:sz w:val="24"/>
          <w:szCs w:val="24"/>
          <w:lang w:val="en-US" w:eastAsia="zh-CN" w:bidi="ar-SA"/>
        </w:rPr>
        <w:br w:type="textWrapping"/>
      </w:r>
      <w:r>
        <w:rPr>
          <w:rFonts w:hint="eastAsia" w:ascii="宋体" w:hAnsi="Times New Roman" w:eastAsia="宋体" w:cs="Times New Roman"/>
          <w:sz w:val="24"/>
          <w:szCs w:val="24"/>
          <w:lang w:val="en-US" w:eastAsia="zh-CN" w:bidi="ar-SA"/>
        </w:rPr>
        <w:t>3.5</w:t>
      </w:r>
      <w:r>
        <w:rPr>
          <w:rFonts w:hint="eastAsia" w:cs="Times New Roman"/>
          <w:sz w:val="24"/>
          <w:szCs w:val="24"/>
          <w:lang w:val="en-US" w:eastAsia="zh-CN" w:bidi="ar-SA"/>
        </w:rPr>
        <w:t xml:space="preserve"> </w:t>
      </w:r>
      <w:r>
        <w:rPr>
          <w:rFonts w:hint="eastAsia" w:ascii="宋体" w:hAnsi="Times New Roman" w:eastAsia="宋体" w:cs="Times New Roman"/>
          <w:sz w:val="24"/>
          <w:szCs w:val="24"/>
          <w:lang w:val="en-US" w:eastAsia="zh-CN" w:bidi="ar-SA"/>
        </w:rPr>
        <w:t>脲酶抑制剂 urease inhibitor</w:t>
      </w:r>
    </w:p>
    <w:p w14:paraId="369FF0B4">
      <w:pPr>
        <w:pStyle w:val="11"/>
        <w:keepNext w:val="0"/>
        <w:keepLines w:val="0"/>
        <w:pageBreakBefore w:val="0"/>
        <w:kinsoku/>
        <w:wordWrap/>
        <w:overflowPunct/>
        <w:topLinePunct w:val="0"/>
        <w:bidi w:val="0"/>
        <w:adjustRightInd/>
        <w:snapToGrid/>
        <w:spacing w:line="360" w:lineRule="auto"/>
        <w:textAlignment w:val="auto"/>
        <w:rPr>
          <w:rFonts w:hint="eastAsia" w:ascii="宋体" w:hAnsi="Times New Roman" w:eastAsia="宋体" w:cs="Times New Roman"/>
          <w:sz w:val="24"/>
          <w:szCs w:val="24"/>
          <w:lang w:val="en-US" w:eastAsia="zh-CN" w:bidi="ar-SA"/>
        </w:rPr>
      </w:pPr>
      <w:r>
        <w:rPr>
          <w:rFonts w:hint="eastAsia" w:ascii="宋体" w:hAnsi="Times New Roman" w:eastAsia="宋体" w:cs="Times New Roman"/>
          <w:sz w:val="24"/>
          <w:szCs w:val="24"/>
          <w:lang w:val="en-US" w:eastAsia="zh-CN" w:bidi="ar-SA"/>
        </w:rPr>
        <w:t>在一段时间内能通过抑制土壤脲酶的活性，从而减缓尿素水解的一类物质。</w:t>
      </w:r>
    </w:p>
    <w:p w14:paraId="30E205EE">
      <w:pPr>
        <w:pStyle w:val="10"/>
        <w:keepNext w:val="0"/>
        <w:keepLines w:val="0"/>
        <w:pageBreakBefore w:val="0"/>
        <w:numPr>
          <w:ilvl w:val="2"/>
          <w:numId w:val="0"/>
        </w:numPr>
        <w:kinsoku/>
        <w:wordWrap/>
        <w:overflowPunct/>
        <w:topLinePunct w:val="0"/>
        <w:bidi w:val="0"/>
        <w:adjustRightInd/>
        <w:snapToGrid/>
        <w:spacing w:line="360" w:lineRule="auto"/>
        <w:textAlignment w:val="auto"/>
        <w:rPr>
          <w:rFonts w:hint="eastAsia" w:ascii="宋体" w:hAnsi="Times New Roman" w:eastAsia="宋体" w:cs="Times New Roman"/>
          <w:sz w:val="24"/>
          <w:szCs w:val="24"/>
          <w:lang w:val="en-US" w:eastAsia="zh-CN" w:bidi="ar-SA"/>
        </w:rPr>
      </w:pPr>
      <w:r>
        <w:rPr>
          <w:rFonts w:hint="eastAsia" w:ascii="宋体" w:hAnsi="Times New Roman" w:eastAsia="宋体" w:cs="Times New Roman"/>
          <w:sz w:val="24"/>
          <w:szCs w:val="24"/>
          <w:lang w:val="en-US" w:eastAsia="zh-CN" w:bidi="ar-SA"/>
        </w:rPr>
        <w:t>3.6硝化抑制剂 nitrification inhibitor</w:t>
      </w:r>
    </w:p>
    <w:p w14:paraId="6A0A3B73">
      <w:pPr>
        <w:pStyle w:val="11"/>
        <w:keepNext w:val="0"/>
        <w:keepLines w:val="0"/>
        <w:pageBreakBefore w:val="0"/>
        <w:kinsoku/>
        <w:wordWrap/>
        <w:overflowPunct/>
        <w:topLinePunct w:val="0"/>
        <w:bidi w:val="0"/>
        <w:adjustRightInd/>
        <w:snapToGrid/>
        <w:spacing w:line="360" w:lineRule="auto"/>
        <w:textAlignment w:val="auto"/>
        <w:rPr>
          <w:rFonts w:hint="eastAsia" w:ascii="宋体" w:hAnsi="Times New Roman" w:eastAsia="宋体" w:cs="Times New Roman"/>
          <w:sz w:val="24"/>
          <w:szCs w:val="24"/>
          <w:lang w:val="en-US" w:eastAsia="zh-CN" w:bidi="ar-SA"/>
        </w:rPr>
      </w:pPr>
      <w:r>
        <w:rPr>
          <w:rFonts w:hint="eastAsia" w:ascii="宋体" w:hAnsi="Times New Roman" w:eastAsia="宋体" w:cs="Times New Roman"/>
          <w:sz w:val="24"/>
          <w:szCs w:val="24"/>
          <w:lang w:val="en-US" w:eastAsia="zh-CN" w:bidi="ar-SA"/>
        </w:rPr>
        <w:t>在一段时间内能选择性地抑制土壤中</w:t>
      </w:r>
      <w:r>
        <w:rPr>
          <w:rFonts w:hint="eastAsia" w:ascii="宋体" w:hAnsi="Times New Roman" w:eastAsia="宋体" w:cs="Times New Roman"/>
          <w:sz w:val="24"/>
          <w:szCs w:val="24"/>
          <w:lang w:val="en-US" w:eastAsia="zh-CN" w:bidi="ar-SA"/>
        </w:rPr>
        <w:fldChar w:fldCharType="begin"/>
      </w:r>
      <w:r>
        <w:rPr>
          <w:rFonts w:hint="eastAsia" w:ascii="宋体" w:hAnsi="Times New Roman" w:eastAsia="宋体" w:cs="Times New Roman"/>
          <w:sz w:val="24"/>
          <w:szCs w:val="24"/>
          <w:lang w:val="en-US" w:eastAsia="zh-CN" w:bidi="ar-SA"/>
        </w:rPr>
        <w:instrText xml:space="preserve"> HYPERLINK "https://baike.baidu.com/item/%E7%A1%9D%E5%8C%96%E7%BB%86%E8%8F%8C/2630694?fromModule=lemma_inlink" \t "https://baike.baidu.com/item/%E7%A1%9D%E5%8C%96%E6%8A%91%E5%88%B6%E5%89%82/_blank" </w:instrText>
      </w:r>
      <w:r>
        <w:rPr>
          <w:rFonts w:hint="eastAsia" w:ascii="宋体" w:hAnsi="Times New Roman" w:eastAsia="宋体" w:cs="Times New Roman"/>
          <w:sz w:val="24"/>
          <w:szCs w:val="24"/>
          <w:lang w:val="en-US" w:eastAsia="zh-CN" w:bidi="ar-SA"/>
        </w:rPr>
        <w:fldChar w:fldCharType="separate"/>
      </w:r>
      <w:r>
        <w:rPr>
          <w:rFonts w:hint="eastAsia" w:ascii="宋体" w:hAnsi="Times New Roman" w:eastAsia="宋体" w:cs="Times New Roman"/>
          <w:sz w:val="24"/>
          <w:szCs w:val="24"/>
          <w:lang w:val="en-US" w:eastAsia="zh-CN" w:bidi="ar-SA"/>
        </w:rPr>
        <w:t>硝化细菌</w:t>
      </w:r>
      <w:r>
        <w:rPr>
          <w:rFonts w:hint="eastAsia" w:ascii="宋体" w:hAnsi="Times New Roman" w:eastAsia="宋体" w:cs="Times New Roman"/>
          <w:sz w:val="24"/>
          <w:szCs w:val="24"/>
          <w:lang w:val="en-US" w:eastAsia="zh-CN" w:bidi="ar-SA"/>
        </w:rPr>
        <w:fldChar w:fldCharType="end"/>
      </w:r>
      <w:r>
        <w:rPr>
          <w:rFonts w:hint="eastAsia" w:ascii="宋体" w:hAnsi="Times New Roman" w:eastAsia="宋体" w:cs="Times New Roman"/>
          <w:sz w:val="24"/>
          <w:szCs w:val="24"/>
          <w:lang w:val="en-US" w:eastAsia="zh-CN" w:bidi="ar-SA"/>
        </w:rPr>
        <w:t>的活动，从而减缓铵态氮向硝态氮转化的一类物质。</w:t>
      </w:r>
    </w:p>
    <w:p w14:paraId="25978944">
      <w:pPr>
        <w:pStyle w:val="10"/>
        <w:keepNext w:val="0"/>
        <w:keepLines w:val="0"/>
        <w:pageBreakBefore w:val="0"/>
        <w:numPr>
          <w:ilvl w:val="2"/>
          <w:numId w:val="0"/>
        </w:numPr>
        <w:kinsoku/>
        <w:wordWrap/>
        <w:overflowPunct/>
        <w:topLinePunct w:val="0"/>
        <w:bidi w:val="0"/>
        <w:adjustRightInd/>
        <w:snapToGrid/>
        <w:spacing w:line="360" w:lineRule="auto"/>
        <w:textAlignment w:val="auto"/>
        <w:rPr>
          <w:rFonts w:hint="eastAsia" w:ascii="宋体" w:hAnsi="Times New Roman" w:eastAsia="宋体" w:cs="Times New Roman"/>
          <w:sz w:val="24"/>
          <w:szCs w:val="24"/>
          <w:lang w:val="en-US" w:eastAsia="zh-CN" w:bidi="ar-SA"/>
        </w:rPr>
      </w:pPr>
      <w:r>
        <w:rPr>
          <w:rFonts w:hint="eastAsia" w:ascii="宋体" w:hAnsi="Times New Roman" w:eastAsia="宋体" w:cs="Times New Roman"/>
          <w:sz w:val="24"/>
          <w:szCs w:val="24"/>
          <w:lang w:val="en-US" w:eastAsia="zh-CN" w:bidi="ar-SA"/>
        </w:rPr>
        <w:t>3.7尿素残留量 residual urea amount</w:t>
      </w:r>
    </w:p>
    <w:p w14:paraId="4DA48D08">
      <w:pPr>
        <w:pStyle w:val="11"/>
        <w:keepNext w:val="0"/>
        <w:keepLines w:val="0"/>
        <w:pageBreakBefore w:val="0"/>
        <w:kinsoku/>
        <w:wordWrap/>
        <w:overflowPunct/>
        <w:topLinePunct w:val="0"/>
        <w:bidi w:val="0"/>
        <w:adjustRightInd/>
        <w:snapToGrid/>
        <w:spacing w:line="360" w:lineRule="auto"/>
        <w:textAlignment w:val="auto"/>
        <w:rPr>
          <w:rFonts w:hint="eastAsia" w:ascii="宋体" w:hAnsi="Times New Roman" w:eastAsia="宋体" w:cs="Times New Roman"/>
          <w:sz w:val="24"/>
          <w:szCs w:val="24"/>
          <w:lang w:val="en-US" w:eastAsia="zh-CN" w:bidi="ar-SA"/>
        </w:rPr>
      </w:pPr>
      <w:r>
        <w:rPr>
          <w:rFonts w:hint="eastAsia" w:ascii="宋体" w:hAnsi="Times New Roman" w:eastAsia="宋体" w:cs="Times New Roman"/>
          <w:sz w:val="24"/>
          <w:szCs w:val="24"/>
          <w:lang w:val="en-US" w:eastAsia="zh-CN" w:bidi="ar-SA"/>
        </w:rPr>
        <w:t>进入土壤中的尿素经过一段时间水解之后的剩余量。</w:t>
      </w:r>
    </w:p>
    <w:p w14:paraId="3A589DC5">
      <w:pPr>
        <w:pStyle w:val="10"/>
        <w:keepNext w:val="0"/>
        <w:keepLines w:val="0"/>
        <w:pageBreakBefore w:val="0"/>
        <w:numPr>
          <w:ilvl w:val="2"/>
          <w:numId w:val="0"/>
        </w:numPr>
        <w:kinsoku/>
        <w:wordWrap/>
        <w:overflowPunct/>
        <w:topLinePunct w:val="0"/>
        <w:bidi w:val="0"/>
        <w:adjustRightInd/>
        <w:snapToGrid/>
        <w:spacing w:line="360" w:lineRule="auto"/>
        <w:ind w:leftChars="-200" w:firstLine="480" w:firstLineChars="200"/>
        <w:textAlignment w:val="auto"/>
        <w:rPr>
          <w:rFonts w:hint="eastAsia" w:ascii="宋体" w:hAnsi="Times New Roman" w:eastAsia="宋体" w:cs="Times New Roman"/>
          <w:sz w:val="24"/>
          <w:szCs w:val="24"/>
          <w:lang w:val="en-US" w:eastAsia="zh-CN" w:bidi="ar-SA"/>
        </w:rPr>
      </w:pPr>
      <w:r>
        <w:rPr>
          <w:rFonts w:hint="eastAsia" w:ascii="宋体" w:hAnsi="Times New Roman" w:eastAsia="宋体" w:cs="Times New Roman"/>
          <w:sz w:val="24"/>
          <w:szCs w:val="24"/>
          <w:lang w:val="en-US" w:eastAsia="zh-CN" w:bidi="ar-SA"/>
        </w:rPr>
        <w:t>3.8基础肥料 basic fertilizer</w:t>
      </w:r>
    </w:p>
    <w:p w14:paraId="5EB953C3">
      <w:pPr>
        <w:pStyle w:val="11"/>
        <w:keepNext w:val="0"/>
        <w:keepLines w:val="0"/>
        <w:pageBreakBefore w:val="0"/>
        <w:kinsoku/>
        <w:wordWrap/>
        <w:overflowPunct/>
        <w:topLinePunct w:val="0"/>
        <w:bidi w:val="0"/>
        <w:adjustRightInd/>
        <w:snapToGrid/>
        <w:spacing w:line="360" w:lineRule="auto"/>
        <w:textAlignment w:val="auto"/>
        <w:rPr>
          <w:rFonts w:hint="eastAsia" w:ascii="宋体" w:hAnsi="Times New Roman" w:eastAsia="宋体" w:cs="Times New Roman"/>
          <w:sz w:val="24"/>
          <w:szCs w:val="24"/>
          <w:lang w:val="en-US" w:eastAsia="zh-CN" w:bidi="ar-SA"/>
        </w:rPr>
      </w:pPr>
      <w:r>
        <w:rPr>
          <w:rFonts w:hint="eastAsia" w:ascii="宋体" w:hAnsi="Times New Roman" w:eastAsia="宋体" w:cs="Times New Roman"/>
          <w:sz w:val="24"/>
          <w:szCs w:val="24"/>
          <w:lang w:val="en-US" w:eastAsia="zh-CN" w:bidi="ar-SA"/>
        </w:rPr>
        <w:t>稳定性肥料除了脲酶抑制剂和硝化抑制以外剩余部分成分相等的肥料。</w:t>
      </w:r>
    </w:p>
    <w:p w14:paraId="73A3F826">
      <w:pPr>
        <w:pStyle w:val="10"/>
        <w:keepNext w:val="0"/>
        <w:keepLines w:val="0"/>
        <w:pageBreakBefore w:val="0"/>
        <w:numPr>
          <w:ilvl w:val="2"/>
          <w:numId w:val="0"/>
        </w:numPr>
        <w:kinsoku/>
        <w:wordWrap/>
        <w:overflowPunct/>
        <w:topLinePunct w:val="0"/>
        <w:bidi w:val="0"/>
        <w:adjustRightInd/>
        <w:snapToGrid/>
        <w:spacing w:line="360" w:lineRule="auto"/>
        <w:ind w:leftChars="-200" w:firstLine="480" w:firstLineChars="200"/>
        <w:textAlignment w:val="auto"/>
        <w:rPr>
          <w:rFonts w:hint="eastAsia" w:ascii="宋体" w:hAnsi="Times New Roman" w:eastAsia="宋体" w:cs="Times New Roman"/>
          <w:sz w:val="24"/>
          <w:szCs w:val="24"/>
          <w:lang w:val="en-US" w:eastAsia="zh-CN" w:bidi="ar-SA"/>
        </w:rPr>
      </w:pPr>
      <w:r>
        <w:rPr>
          <w:rFonts w:hint="eastAsia" w:ascii="宋体" w:hAnsi="Times New Roman" w:eastAsia="宋体" w:cs="Times New Roman"/>
          <w:sz w:val="24"/>
          <w:szCs w:val="24"/>
          <w:lang w:val="en-US" w:eastAsia="zh-CN" w:bidi="ar-SA"/>
        </w:rPr>
        <w:t>3.9尿素残留差异率 residual urea variance rate</w:t>
      </w:r>
    </w:p>
    <w:p w14:paraId="7473AF41">
      <w:pPr>
        <w:pStyle w:val="6"/>
        <w:keepNext w:val="0"/>
        <w:keepLines w:val="0"/>
        <w:pageBreakBefore w:val="0"/>
        <w:kinsoku/>
        <w:wordWrap/>
        <w:overflowPunct/>
        <w:topLinePunct w:val="0"/>
        <w:bidi w:val="0"/>
        <w:adjustRightInd/>
        <w:snapToGrid/>
        <w:spacing w:line="360" w:lineRule="auto"/>
        <w:ind w:firstLine="420"/>
        <w:textAlignment w:val="auto"/>
        <w:rPr>
          <w:rFonts w:hint="default" w:ascii="宋体" w:hAnsi="Times New Roman" w:eastAsia="宋体" w:cs="Times New Roman"/>
          <w:sz w:val="24"/>
          <w:szCs w:val="24"/>
          <w:lang w:val="en-US" w:eastAsia="zh-CN" w:bidi="ar-SA"/>
        </w:rPr>
      </w:pPr>
      <w:r>
        <w:rPr>
          <w:rFonts w:hint="eastAsia" w:ascii="宋体" w:hAnsi="Times New Roman" w:eastAsia="宋体" w:cs="Times New Roman"/>
          <w:sz w:val="24"/>
          <w:szCs w:val="24"/>
          <w:lang w:val="en-US" w:eastAsia="zh-CN" w:bidi="ar-SA"/>
        </w:rPr>
        <w:t>在一段时间内含脲酶抑制剂的稳定性肥料（试样）尿素残留量与不含脲酶抑制剂的对照样品尿素残留量的差值与试样尿素残留量之百分比。</w:t>
      </w:r>
    </w:p>
    <w:p w14:paraId="15174EB8">
      <w:pPr>
        <w:pStyle w:val="10"/>
        <w:keepNext w:val="0"/>
        <w:keepLines w:val="0"/>
        <w:pageBreakBefore w:val="0"/>
        <w:numPr>
          <w:ilvl w:val="2"/>
          <w:numId w:val="0"/>
        </w:numPr>
        <w:kinsoku/>
        <w:wordWrap/>
        <w:overflowPunct/>
        <w:topLinePunct w:val="0"/>
        <w:bidi w:val="0"/>
        <w:adjustRightInd/>
        <w:snapToGrid/>
        <w:spacing w:line="360" w:lineRule="auto"/>
        <w:textAlignment w:val="auto"/>
        <w:rPr>
          <w:rFonts w:hint="eastAsia" w:ascii="宋体" w:hAnsi="Times New Roman" w:eastAsia="宋体" w:cs="Times New Roman"/>
          <w:sz w:val="24"/>
          <w:szCs w:val="24"/>
          <w:lang w:val="en-US" w:eastAsia="zh-CN" w:bidi="ar-SA"/>
        </w:rPr>
      </w:pPr>
      <w:r>
        <w:rPr>
          <w:rFonts w:hint="eastAsia" w:ascii="宋体" w:hAnsi="Times New Roman" w:eastAsia="宋体" w:cs="Times New Roman"/>
          <w:sz w:val="24"/>
          <w:szCs w:val="24"/>
          <w:lang w:val="en-US" w:eastAsia="zh-CN" w:bidi="ar-SA"/>
        </w:rPr>
        <w:t>3.10硝化潜势差异率  nitrification potential variance rate</w:t>
      </w:r>
    </w:p>
    <w:p w14:paraId="4CC986D1">
      <w:pPr>
        <w:pStyle w:val="6"/>
        <w:keepNext w:val="0"/>
        <w:keepLines w:val="0"/>
        <w:pageBreakBefore w:val="0"/>
        <w:kinsoku/>
        <w:wordWrap/>
        <w:overflowPunct/>
        <w:topLinePunct w:val="0"/>
        <w:bidi w:val="0"/>
        <w:adjustRightInd/>
        <w:snapToGrid/>
        <w:spacing w:line="360" w:lineRule="auto"/>
        <w:ind w:firstLine="420"/>
        <w:textAlignment w:val="auto"/>
        <w:rPr>
          <w:rFonts w:hint="eastAsia" w:ascii="宋体" w:hAnsi="Times New Roman" w:eastAsia="宋体" w:cs="Times New Roman"/>
          <w:sz w:val="24"/>
          <w:szCs w:val="24"/>
          <w:lang w:val="en-US" w:eastAsia="zh-CN" w:bidi="ar-SA"/>
        </w:rPr>
      </w:pPr>
      <w:r>
        <w:rPr>
          <w:rFonts w:hint="eastAsia" w:ascii="宋体" w:hAnsi="Times New Roman" w:eastAsia="宋体" w:cs="Times New Roman"/>
          <w:sz w:val="24"/>
          <w:szCs w:val="24"/>
          <w:lang w:val="en-US" w:eastAsia="zh-CN" w:bidi="ar-SA"/>
        </w:rPr>
        <w:t>在一定培养时间内，等氮量对照样品与含硝化抑制剂的稳定性肥料（试样）在土壤中形成的硝化潜势之差，与对照样品形成的硝化潜势之百分比。</w:t>
      </w:r>
    </w:p>
    <w:p w14:paraId="70F5BBE5">
      <w:pPr>
        <w:pStyle w:val="10"/>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Times New Roman" w:eastAsia="宋体" w:cs="Times New Roman"/>
          <w:sz w:val="24"/>
          <w:szCs w:val="24"/>
          <w:lang w:val="en-US" w:eastAsia="zh-CN" w:bidi="ar-SA"/>
        </w:rPr>
      </w:pPr>
      <w:r>
        <w:rPr>
          <w:rFonts w:hint="eastAsia" w:ascii="宋体" w:hAnsi="Times New Roman" w:eastAsia="宋体" w:cs="Times New Roman"/>
          <w:sz w:val="24"/>
          <w:szCs w:val="24"/>
          <w:lang w:val="en-US" w:eastAsia="zh-CN" w:bidi="ar-SA"/>
        </w:rPr>
        <w:t>3.11正丁基硫代磷酰三胺 N-(n-butyl)thiophosphoric triamide；NBPT</w:t>
      </w:r>
    </w:p>
    <w:p w14:paraId="1E362246">
      <w:pPr>
        <w:pStyle w:val="6"/>
        <w:keepNext w:val="0"/>
        <w:keepLines w:val="0"/>
        <w:pageBreakBefore w:val="0"/>
        <w:kinsoku/>
        <w:wordWrap/>
        <w:overflowPunct/>
        <w:topLinePunct w:val="0"/>
        <w:bidi w:val="0"/>
        <w:adjustRightInd/>
        <w:snapToGrid/>
        <w:spacing w:line="360" w:lineRule="auto"/>
        <w:ind w:firstLine="420"/>
        <w:textAlignment w:val="auto"/>
        <w:rPr>
          <w:rFonts w:hint="eastAsia" w:ascii="宋体" w:hAnsi="Times New Roman" w:eastAsia="宋体" w:cs="Times New Roman"/>
          <w:sz w:val="24"/>
          <w:szCs w:val="24"/>
          <w:lang w:val="en-US" w:eastAsia="zh-CN" w:bidi="ar-SA"/>
        </w:rPr>
      </w:pPr>
      <w:r>
        <w:rPr>
          <w:rFonts w:hint="eastAsia" w:ascii="宋体" w:hAnsi="Times New Roman" w:eastAsia="宋体" w:cs="Times New Roman"/>
          <w:sz w:val="24"/>
          <w:szCs w:val="24"/>
          <w:lang w:val="en-US" w:eastAsia="zh-CN" w:bidi="ar-SA"/>
        </w:rPr>
        <w:t xml:space="preserve">一种脲酶抑制剂，外观为白色结晶固体。 </w:t>
      </w:r>
    </w:p>
    <w:p w14:paraId="1DCDA86E">
      <w:pPr>
        <w:pStyle w:val="17"/>
        <w:keepNext w:val="0"/>
        <w:keepLines w:val="0"/>
        <w:pageBreakBefore w:val="0"/>
        <w:kinsoku/>
        <w:wordWrap/>
        <w:overflowPunct/>
        <w:topLinePunct w:val="0"/>
        <w:bidi w:val="0"/>
        <w:adjustRightInd/>
        <w:snapToGrid/>
        <w:spacing w:line="360" w:lineRule="auto"/>
        <w:textAlignment w:val="auto"/>
        <w:rPr>
          <w:rFonts w:hint="eastAsia" w:ascii="宋体" w:hAnsi="Times New Roman" w:eastAsia="宋体" w:cs="Times New Roman"/>
          <w:sz w:val="24"/>
          <w:szCs w:val="24"/>
          <w:lang w:val="en-US" w:eastAsia="zh-CN" w:bidi="ar-SA"/>
        </w:rPr>
      </w:pPr>
      <w:r>
        <w:rPr>
          <w:rFonts w:hint="eastAsia" w:ascii="宋体" w:hAnsi="Times New Roman" w:eastAsia="宋体" w:cs="Times New Roman"/>
          <w:sz w:val="24"/>
          <w:szCs w:val="24"/>
          <w:lang w:val="en-US" w:eastAsia="zh-CN" w:bidi="ar-SA"/>
        </w:rPr>
        <w:t xml:space="preserve">美国化学文摘登记CAS号 94317-64-3。 </w:t>
      </w:r>
    </w:p>
    <w:p w14:paraId="75C344FF">
      <w:pPr>
        <w:pStyle w:val="10"/>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Times New Roman" w:eastAsia="宋体" w:cs="Times New Roman"/>
          <w:sz w:val="24"/>
          <w:szCs w:val="24"/>
          <w:lang w:val="en-US" w:eastAsia="zh-CN" w:bidi="ar-SA"/>
        </w:rPr>
      </w:pPr>
      <w:r>
        <w:rPr>
          <w:rFonts w:hint="eastAsia" w:ascii="宋体" w:hAnsi="Times New Roman" w:eastAsia="宋体" w:cs="Times New Roman"/>
          <w:sz w:val="24"/>
          <w:szCs w:val="24"/>
          <w:lang w:val="en-US" w:eastAsia="zh-CN" w:bidi="ar-SA"/>
        </w:rPr>
        <w:t xml:space="preserve">3.12双氰胺 dicyandiamide；DCD </w:t>
      </w:r>
    </w:p>
    <w:p w14:paraId="5F3ADDF3">
      <w:pPr>
        <w:pStyle w:val="6"/>
        <w:keepNext w:val="0"/>
        <w:keepLines w:val="0"/>
        <w:pageBreakBefore w:val="0"/>
        <w:kinsoku/>
        <w:wordWrap/>
        <w:overflowPunct/>
        <w:topLinePunct w:val="0"/>
        <w:bidi w:val="0"/>
        <w:adjustRightInd/>
        <w:snapToGrid/>
        <w:spacing w:line="360" w:lineRule="auto"/>
        <w:ind w:firstLine="420"/>
        <w:textAlignment w:val="auto"/>
        <w:rPr>
          <w:rFonts w:hint="eastAsia" w:ascii="宋体" w:hAnsi="Times New Roman" w:eastAsia="宋体" w:cs="Times New Roman"/>
          <w:sz w:val="24"/>
          <w:szCs w:val="24"/>
          <w:lang w:val="en-US" w:eastAsia="zh-CN" w:bidi="ar-SA"/>
        </w:rPr>
      </w:pPr>
      <w:r>
        <w:rPr>
          <w:rFonts w:hint="eastAsia" w:ascii="宋体" w:hAnsi="Times New Roman" w:eastAsia="宋体" w:cs="Times New Roman"/>
          <w:sz w:val="24"/>
          <w:szCs w:val="24"/>
          <w:lang w:val="en-US" w:eastAsia="zh-CN" w:bidi="ar-SA"/>
        </w:rPr>
        <w:t xml:space="preserve">一种硝化抑制剂，同时也是一种缓释氮源，外观为白色结晶粉末。 </w:t>
      </w:r>
    </w:p>
    <w:p w14:paraId="39A25EAA">
      <w:pPr>
        <w:pStyle w:val="17"/>
        <w:keepNext w:val="0"/>
        <w:keepLines w:val="0"/>
        <w:pageBreakBefore w:val="0"/>
        <w:kinsoku/>
        <w:wordWrap/>
        <w:overflowPunct/>
        <w:topLinePunct w:val="0"/>
        <w:bidi w:val="0"/>
        <w:adjustRightInd/>
        <w:snapToGrid/>
        <w:spacing w:line="360" w:lineRule="auto"/>
        <w:textAlignment w:val="auto"/>
        <w:rPr>
          <w:rFonts w:hint="eastAsia" w:ascii="宋体" w:hAnsi="Times New Roman" w:eastAsia="宋体" w:cs="Times New Roman"/>
          <w:sz w:val="24"/>
          <w:szCs w:val="24"/>
          <w:lang w:val="en-US" w:eastAsia="zh-CN" w:bidi="ar-SA"/>
        </w:rPr>
      </w:pPr>
      <w:r>
        <w:rPr>
          <w:rFonts w:hint="eastAsia" w:ascii="宋体" w:hAnsi="Times New Roman" w:eastAsia="宋体" w:cs="Times New Roman"/>
          <w:sz w:val="24"/>
          <w:szCs w:val="24"/>
          <w:lang w:val="en-US" w:eastAsia="zh-CN" w:bidi="ar-SA"/>
        </w:rPr>
        <w:t xml:space="preserve">C2H4N4（美国化学文摘登记CAS号 461-58-5）。 </w:t>
      </w:r>
    </w:p>
    <w:p w14:paraId="6C94655B">
      <w:pPr>
        <w:pStyle w:val="10"/>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Times New Roman" w:eastAsia="宋体" w:cs="Times New Roman"/>
          <w:sz w:val="24"/>
          <w:szCs w:val="24"/>
          <w:lang w:val="en-US" w:eastAsia="zh-CN" w:bidi="ar-SA"/>
        </w:rPr>
      </w:pPr>
      <w:r>
        <w:rPr>
          <w:rFonts w:hint="eastAsia" w:ascii="宋体" w:hAnsi="Times New Roman" w:eastAsia="宋体" w:cs="Times New Roman"/>
          <w:sz w:val="24"/>
          <w:szCs w:val="24"/>
          <w:lang w:val="en-US" w:eastAsia="zh-CN" w:bidi="ar-SA"/>
        </w:rPr>
        <w:t>3.13 3,4-二甲基吡唑磷酸盐  3,4-Dimethylpyrazole phosphate；DMPP</w:t>
      </w:r>
    </w:p>
    <w:p w14:paraId="140150F8">
      <w:pPr>
        <w:pStyle w:val="6"/>
        <w:keepNext w:val="0"/>
        <w:keepLines w:val="0"/>
        <w:pageBreakBefore w:val="0"/>
        <w:kinsoku/>
        <w:wordWrap/>
        <w:overflowPunct/>
        <w:topLinePunct w:val="0"/>
        <w:bidi w:val="0"/>
        <w:adjustRightInd/>
        <w:snapToGrid/>
        <w:spacing w:line="360" w:lineRule="auto"/>
        <w:ind w:firstLine="420"/>
        <w:textAlignment w:val="auto"/>
        <w:rPr>
          <w:rFonts w:hint="eastAsia" w:ascii="宋体" w:hAnsi="Times New Roman" w:eastAsia="宋体" w:cs="Times New Roman"/>
          <w:sz w:val="24"/>
          <w:szCs w:val="24"/>
          <w:lang w:val="en-US" w:eastAsia="zh-CN" w:bidi="ar-SA"/>
        </w:rPr>
      </w:pPr>
      <w:r>
        <w:rPr>
          <w:rFonts w:hint="eastAsia" w:ascii="宋体" w:hAnsi="Times New Roman" w:eastAsia="宋体" w:cs="Times New Roman"/>
          <w:sz w:val="24"/>
          <w:szCs w:val="24"/>
          <w:lang w:val="en-US" w:eastAsia="zh-CN" w:bidi="ar-SA"/>
        </w:rPr>
        <w:t xml:space="preserve">一种硝化抑制剂，外观为黄色或白色结晶粉末状物质。 </w:t>
      </w:r>
    </w:p>
    <w:p w14:paraId="3133D9F0">
      <w:pPr>
        <w:pStyle w:val="17"/>
        <w:keepNext w:val="0"/>
        <w:keepLines w:val="0"/>
        <w:pageBreakBefore w:val="0"/>
        <w:kinsoku/>
        <w:wordWrap/>
        <w:overflowPunct/>
        <w:topLinePunct w:val="0"/>
        <w:bidi w:val="0"/>
        <w:adjustRightInd/>
        <w:snapToGrid/>
        <w:spacing w:line="360" w:lineRule="auto"/>
        <w:textAlignment w:val="auto"/>
        <w:rPr>
          <w:rFonts w:hint="default" w:asciiTheme="minorHAnsi" w:hAnsiTheme="minorHAnsi" w:eastAsiaTheme="minorEastAsia" w:cstheme="minorBidi"/>
          <w:kern w:val="2"/>
          <w:sz w:val="24"/>
          <w:szCs w:val="24"/>
          <w:lang w:val="en-US" w:eastAsia="zh-CN" w:bidi="ar-SA"/>
        </w:rPr>
      </w:pPr>
      <w:r>
        <w:rPr>
          <w:rFonts w:hint="eastAsia" w:ascii="宋体" w:hAnsi="Times New Roman" w:eastAsia="宋体" w:cs="Times New Roman"/>
          <w:sz w:val="24"/>
          <w:szCs w:val="24"/>
          <w:lang w:val="en-US" w:eastAsia="zh-CN" w:bidi="ar-SA"/>
        </w:rPr>
        <w:t>C5H11N2O4P（美国化学文摘登记CAS号 202842-98-6）。</w:t>
      </w:r>
      <w:r>
        <w:rPr>
          <w:rFonts w:hint="eastAsia" w:asciiTheme="minorHAnsi" w:hAnsiTheme="minorHAnsi" w:eastAsiaTheme="minorEastAsia" w:cstheme="minorBidi"/>
          <w:kern w:val="2"/>
          <w:sz w:val="24"/>
          <w:szCs w:val="24"/>
          <w:lang w:val="en-US" w:eastAsia="zh-CN" w:bidi="ar-SA"/>
        </w:rPr>
        <w:t xml:space="preserve">  </w:t>
      </w:r>
    </w:p>
    <w:p w14:paraId="1B636762">
      <w:pPr>
        <w:pStyle w:val="6"/>
        <w:keepLines w:val="0"/>
        <w:pageBreakBefore w:val="0"/>
        <w:wordWrap/>
        <w:overflowPunct/>
        <w:topLinePunct w:val="0"/>
        <w:bidi w:val="0"/>
        <w:spacing w:line="360" w:lineRule="auto"/>
        <w:ind w:left="0" w:leftChars="0" w:firstLine="0" w:firstLineChars="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要求</w:t>
      </w:r>
    </w:p>
    <w:p w14:paraId="10E8023F">
      <w:pPr>
        <w:pStyle w:val="7"/>
        <w:numPr>
          <w:ilvl w:val="2"/>
          <w:numId w:val="0"/>
        </w:numPr>
        <w:ind w:left="0" w:leftChars="0" w:firstLine="0" w:firstLineChars="0"/>
        <w:rPr>
          <w:rFonts w:hint="eastAsia" w:ascii="宋体" w:hAnsi="宋体" w:eastAsia="宋体" w:cs="宋体"/>
          <w:sz w:val="24"/>
          <w:szCs w:val="24"/>
          <w14:scene3d>
            <w14:lightRig w14:rig="threePt" w14:dir="t">
              <w14:rot w14:lat="0" w14:lon="0" w14:rev="0"/>
            </w14:lightRig>
          </w14:scene3d>
        </w:rPr>
      </w:pPr>
      <w:r>
        <w:rPr>
          <w:rFonts w:hint="eastAsia" w:ascii="宋体" w:hAnsi="宋体" w:eastAsia="宋体" w:cs="宋体"/>
          <w:b w:val="0"/>
          <w:bCs w:val="0"/>
          <w:i w:val="0"/>
          <w:iCs w:val="0"/>
          <w:caps w:val="0"/>
          <w:smallCaps w:val="0"/>
          <w:strike w:val="0"/>
          <w:dstrike w:val="0"/>
          <w:vanish w:val="0"/>
          <w:color w:val="000000"/>
          <w:spacing w:val="0"/>
          <w:kern w:val="0"/>
          <w:position w:val="0"/>
          <w:sz w:val="24"/>
          <w:szCs w:val="24"/>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4.1　</w:t>
      </w:r>
      <w:r>
        <w:rPr>
          <w:rFonts w:hint="eastAsia" w:ascii="宋体" w:hAnsi="宋体" w:eastAsia="宋体" w:cs="宋体"/>
          <w:sz w:val="24"/>
          <w:szCs w:val="24"/>
          <w14:scene3d>
            <w14:lightRig w14:rig="threePt" w14:dir="t">
              <w14:rot w14:lat="0" w14:lon="0" w14:rev="0"/>
            </w14:lightRig>
          </w14:scene3d>
        </w:rPr>
        <w:t>外观：颗粒状、粉状或液体，无机械杂质。</w:t>
      </w:r>
    </w:p>
    <w:p w14:paraId="0960B6DD">
      <w:pPr>
        <w:pStyle w:val="7"/>
        <w:keepNext w:val="0"/>
        <w:keepLines w:val="0"/>
        <w:pageBreakBefore w:val="0"/>
        <w:widowControl/>
        <w:numPr>
          <w:ilvl w:val="2"/>
          <w:numId w:val="0"/>
        </w:numPr>
        <w:kinsoku/>
        <w:wordWrap/>
        <w:overflowPunct/>
        <w:topLinePunct w:val="0"/>
        <w:autoSpaceDE/>
        <w:autoSpaceDN/>
        <w:bidi w:val="0"/>
        <w:adjustRightInd/>
        <w:snapToGrid/>
        <w:spacing w:line="360" w:lineRule="auto"/>
        <w:ind w:leftChars="0"/>
        <w:textAlignment w:val="auto"/>
        <w:rPr>
          <w:color w:val="1D41D5"/>
        </w:rPr>
      </w:pPr>
      <w:r>
        <w:rPr>
          <w:rFonts w:hint="eastAsia" w:ascii="宋体" w:hAnsi="宋体" w:eastAsia="宋体" w:cs="宋体"/>
          <w:sz w:val="24"/>
          <w:szCs w:val="24"/>
          <w:lang w:val="en-US" w:eastAsia="zh-CN" w:bidi="ar-SA"/>
        </w:rPr>
        <w:t>4.2</w:t>
      </w:r>
      <w:r>
        <w:rPr>
          <w:rFonts w:hint="eastAsia" w:ascii="宋体" w:hAnsi="Times New Roman" w:eastAsia="宋体" w:cs="Times New Roman"/>
          <w:sz w:val="24"/>
          <w:szCs w:val="24"/>
          <w:lang w:val="en-US" w:eastAsia="zh-CN" w:bidi="ar-SA"/>
        </w:rPr>
        <w:t>　产品应符合表1功能要求或含量要求，同时应符合相应的基础肥料国家标准或者行业标准要求和包装容器上的标明值。功能指标为通用指标，只要功能指标达标，无论使用何种抑制剂，均可以判定为稳定性肥料，同时功能指标也是仲裁指标，产品抑制功能最终评价以尿素残留差异率和硝化潜势差异率为仲裁标准。含量指标为快速判定指标，只要含量指标达标，也可判定为合格的稳定性肥料。</w:t>
      </w:r>
    </w:p>
    <w:p w14:paraId="658568A5">
      <w:pPr>
        <w:pStyle w:val="7"/>
        <w:keepNext w:val="0"/>
        <w:keepLines w:val="0"/>
        <w:pageBreakBefore w:val="0"/>
        <w:widowControl/>
        <w:numPr>
          <w:ilvl w:val="2"/>
          <w:numId w:val="0"/>
        </w:numPr>
        <w:kinsoku/>
        <w:wordWrap/>
        <w:overflowPunct/>
        <w:topLinePunct w:val="0"/>
        <w:autoSpaceDE/>
        <w:autoSpaceDN/>
        <w:bidi w:val="0"/>
        <w:adjustRightInd/>
        <w:snapToGrid/>
        <w:spacing w:line="360" w:lineRule="auto"/>
        <w:ind w:left="0" w:leftChars="0" w:firstLine="0" w:firstLineChars="0"/>
        <w:textAlignment w:val="auto"/>
        <w:rPr>
          <w:sz w:val="24"/>
          <w:szCs w:val="24"/>
        </w:rPr>
      </w:pPr>
    </w:p>
    <w:p w14:paraId="5062D1FE">
      <w:pPr>
        <w:pStyle w:val="12"/>
        <w:spacing w:before="156" w:after="156"/>
        <w:rPr>
          <w:sz w:val="18"/>
          <w:szCs w:val="18"/>
        </w:rPr>
      </w:pPr>
      <w:r>
        <w:rPr>
          <w:rFonts w:hint="eastAsia"/>
          <w:sz w:val="18"/>
          <w:szCs w:val="18"/>
        </w:rPr>
        <w:t>稳定性肥料的技术要求</w:t>
      </w:r>
    </w:p>
    <w:tbl>
      <w:tblPr>
        <w:tblStyle w:val="3"/>
        <w:tblW w:w="934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1267"/>
        <w:gridCol w:w="3263"/>
        <w:gridCol w:w="1663"/>
        <w:gridCol w:w="1647"/>
        <w:gridCol w:w="1502"/>
      </w:tblGrid>
      <w:tr w14:paraId="2D2DF6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4526" w:type="dxa"/>
            <w:gridSpan w:val="2"/>
            <w:vMerge w:val="restart"/>
            <w:tcBorders>
              <w:top w:val="single" w:color="auto" w:sz="8" w:space="0"/>
            </w:tcBorders>
            <w:shd w:val="clear" w:color="auto" w:fill="auto"/>
            <w:vAlign w:val="center"/>
          </w:tcPr>
          <w:p w14:paraId="5135FD7A">
            <w:pPr>
              <w:pStyle w:val="18"/>
              <w:rPr>
                <w:rFonts w:hint="eastAsia"/>
                <w:sz w:val="18"/>
                <w:szCs w:val="18"/>
              </w:rPr>
            </w:pPr>
            <w:r>
              <w:rPr>
                <w:rFonts w:hint="eastAsia"/>
                <w:sz w:val="18"/>
                <w:szCs w:val="18"/>
              </w:rPr>
              <w:t>项目</w:t>
            </w:r>
          </w:p>
        </w:tc>
        <w:tc>
          <w:tcPr>
            <w:tcW w:w="4808" w:type="dxa"/>
            <w:gridSpan w:val="3"/>
            <w:tcBorders>
              <w:top w:val="single" w:color="auto" w:sz="8" w:space="0"/>
              <w:bottom w:val="single" w:color="auto" w:sz="8" w:space="0"/>
            </w:tcBorders>
            <w:shd w:val="clear" w:color="auto" w:fill="auto"/>
            <w:vAlign w:val="center"/>
          </w:tcPr>
          <w:p w14:paraId="7A1C5D23">
            <w:pPr>
              <w:pStyle w:val="18"/>
              <w:rPr>
                <w:rFonts w:hint="eastAsia"/>
                <w:sz w:val="18"/>
                <w:szCs w:val="18"/>
              </w:rPr>
            </w:pPr>
            <w:r>
              <w:rPr>
                <w:rFonts w:hint="eastAsia"/>
                <w:sz w:val="18"/>
                <w:szCs w:val="18"/>
              </w:rPr>
              <w:t>指标</w:t>
            </w:r>
          </w:p>
        </w:tc>
      </w:tr>
      <w:tr w14:paraId="10995D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526" w:type="dxa"/>
            <w:gridSpan w:val="2"/>
            <w:vMerge w:val="continue"/>
            <w:shd w:val="clear" w:color="auto" w:fill="auto"/>
            <w:vAlign w:val="center"/>
          </w:tcPr>
          <w:p w14:paraId="36E60068">
            <w:pPr>
              <w:pStyle w:val="18"/>
              <w:rPr>
                <w:rFonts w:hint="eastAsia"/>
                <w:sz w:val="18"/>
                <w:szCs w:val="18"/>
              </w:rPr>
            </w:pPr>
          </w:p>
        </w:tc>
        <w:tc>
          <w:tcPr>
            <w:tcW w:w="1662" w:type="dxa"/>
            <w:tcBorders>
              <w:top w:val="single" w:color="auto" w:sz="8" w:space="0"/>
            </w:tcBorders>
            <w:shd w:val="clear" w:color="auto" w:fill="auto"/>
            <w:vAlign w:val="center"/>
          </w:tcPr>
          <w:p w14:paraId="1E159E56">
            <w:pPr>
              <w:pStyle w:val="18"/>
              <w:rPr>
                <w:rFonts w:hint="eastAsia"/>
                <w:sz w:val="18"/>
                <w:szCs w:val="18"/>
              </w:rPr>
            </w:pPr>
            <w:r>
              <w:rPr>
                <w:rFonts w:hint="eastAsia"/>
                <w:sz w:val="18"/>
                <w:szCs w:val="18"/>
              </w:rPr>
              <w:t>脲酶抑制型</w:t>
            </w:r>
          </w:p>
          <w:p w14:paraId="30AA5672">
            <w:pPr>
              <w:pStyle w:val="18"/>
              <w:rPr>
                <w:rFonts w:hint="eastAsia" w:eastAsia="宋体"/>
                <w:sz w:val="18"/>
                <w:szCs w:val="18"/>
                <w:lang w:eastAsia="zh-CN"/>
              </w:rPr>
            </w:pPr>
            <w:r>
              <w:rPr>
                <w:rFonts w:hint="eastAsia"/>
                <w:sz w:val="18"/>
                <w:szCs w:val="18"/>
                <w:lang w:eastAsia="zh-CN"/>
              </w:rPr>
              <w:t>（</w:t>
            </w:r>
            <w:r>
              <w:rPr>
                <w:rFonts w:hint="eastAsia"/>
                <w:sz w:val="18"/>
                <w:szCs w:val="18"/>
                <w:lang w:val="en-US" w:eastAsia="zh-CN"/>
              </w:rPr>
              <w:t>稳定性肥料Ⅰ型</w:t>
            </w:r>
            <w:r>
              <w:rPr>
                <w:rFonts w:hint="eastAsia"/>
                <w:sz w:val="18"/>
                <w:szCs w:val="18"/>
                <w:lang w:eastAsia="zh-CN"/>
              </w:rPr>
              <w:t>）</w:t>
            </w:r>
          </w:p>
        </w:tc>
        <w:tc>
          <w:tcPr>
            <w:tcW w:w="1646" w:type="dxa"/>
            <w:tcBorders>
              <w:top w:val="single" w:color="auto" w:sz="8" w:space="0"/>
            </w:tcBorders>
            <w:shd w:val="clear" w:color="auto" w:fill="auto"/>
          </w:tcPr>
          <w:p w14:paraId="11C323E4">
            <w:pPr>
              <w:pStyle w:val="18"/>
              <w:rPr>
                <w:rFonts w:hint="eastAsia"/>
                <w:sz w:val="18"/>
                <w:szCs w:val="18"/>
              </w:rPr>
            </w:pPr>
            <w:r>
              <w:rPr>
                <w:rFonts w:hint="eastAsia"/>
                <w:sz w:val="18"/>
                <w:szCs w:val="18"/>
              </w:rPr>
              <w:t>硝化抑制型</w:t>
            </w:r>
          </w:p>
          <w:p w14:paraId="437D8D3D">
            <w:pPr>
              <w:pStyle w:val="18"/>
              <w:rPr>
                <w:rFonts w:hint="eastAsia"/>
                <w:sz w:val="18"/>
                <w:szCs w:val="18"/>
              </w:rPr>
            </w:pPr>
            <w:r>
              <w:rPr>
                <w:rFonts w:hint="eastAsia"/>
                <w:sz w:val="18"/>
                <w:szCs w:val="18"/>
                <w:lang w:eastAsia="zh-CN"/>
              </w:rPr>
              <w:t>（</w:t>
            </w:r>
            <w:r>
              <w:rPr>
                <w:rFonts w:hint="eastAsia"/>
                <w:sz w:val="18"/>
                <w:szCs w:val="18"/>
                <w:lang w:val="en-US" w:eastAsia="zh-CN"/>
              </w:rPr>
              <w:t>稳定性肥料Ⅱ型</w:t>
            </w:r>
            <w:r>
              <w:rPr>
                <w:rFonts w:hint="eastAsia"/>
                <w:sz w:val="18"/>
                <w:szCs w:val="18"/>
                <w:lang w:eastAsia="zh-CN"/>
              </w:rPr>
              <w:t>）</w:t>
            </w:r>
          </w:p>
        </w:tc>
        <w:tc>
          <w:tcPr>
            <w:tcW w:w="1500" w:type="dxa"/>
            <w:tcBorders>
              <w:top w:val="single" w:color="auto" w:sz="8" w:space="0"/>
            </w:tcBorders>
            <w:shd w:val="clear" w:color="auto" w:fill="auto"/>
          </w:tcPr>
          <w:p w14:paraId="06449874">
            <w:pPr>
              <w:pStyle w:val="18"/>
              <w:rPr>
                <w:rFonts w:hint="eastAsia"/>
                <w:sz w:val="18"/>
                <w:szCs w:val="18"/>
              </w:rPr>
            </w:pPr>
            <w:r>
              <w:rPr>
                <w:rFonts w:hint="eastAsia"/>
                <w:sz w:val="18"/>
                <w:szCs w:val="18"/>
              </w:rPr>
              <w:t>复合型</w:t>
            </w:r>
          </w:p>
          <w:p w14:paraId="5811009D">
            <w:pPr>
              <w:pStyle w:val="18"/>
              <w:rPr>
                <w:rFonts w:hint="eastAsia"/>
                <w:sz w:val="18"/>
                <w:szCs w:val="18"/>
              </w:rPr>
            </w:pPr>
            <w:r>
              <w:rPr>
                <w:rFonts w:hint="eastAsia"/>
                <w:sz w:val="18"/>
                <w:szCs w:val="18"/>
                <w:lang w:eastAsia="zh-CN"/>
              </w:rPr>
              <w:t>（</w:t>
            </w:r>
            <w:r>
              <w:rPr>
                <w:rFonts w:hint="eastAsia"/>
                <w:sz w:val="18"/>
                <w:szCs w:val="18"/>
                <w:lang w:val="en-US" w:eastAsia="zh-CN"/>
              </w:rPr>
              <w:t>稳定性肥料Ⅲ型</w:t>
            </w:r>
            <w:r>
              <w:rPr>
                <w:rFonts w:hint="eastAsia"/>
                <w:sz w:val="18"/>
                <w:szCs w:val="18"/>
                <w:lang w:eastAsia="zh-CN"/>
              </w:rPr>
              <w:t>）</w:t>
            </w:r>
          </w:p>
        </w:tc>
      </w:tr>
      <w:tr w14:paraId="7D35DD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266" w:type="dxa"/>
            <w:vMerge w:val="restart"/>
            <w:shd w:val="clear" w:color="auto" w:fill="auto"/>
            <w:vAlign w:val="center"/>
          </w:tcPr>
          <w:p w14:paraId="66A7BC86">
            <w:pPr>
              <w:pStyle w:val="18"/>
              <w:rPr>
                <w:rFonts w:hint="default" w:eastAsia="宋体"/>
                <w:color w:val="auto"/>
                <w:sz w:val="18"/>
                <w:szCs w:val="18"/>
                <w:lang w:val="en-US" w:eastAsia="zh-CN"/>
              </w:rPr>
            </w:pPr>
            <w:r>
              <w:rPr>
                <w:rFonts w:hint="eastAsia"/>
                <w:color w:val="auto"/>
                <w:sz w:val="18"/>
                <w:szCs w:val="18"/>
              </w:rPr>
              <w:t>功能</w:t>
            </w:r>
            <w:r>
              <w:rPr>
                <w:rFonts w:hint="eastAsia"/>
                <w:color w:val="auto"/>
                <w:sz w:val="18"/>
                <w:szCs w:val="18"/>
                <w:lang w:val="en-US" w:eastAsia="zh-CN"/>
              </w:rPr>
              <w:t>指标</w:t>
            </w:r>
          </w:p>
        </w:tc>
        <w:tc>
          <w:tcPr>
            <w:tcW w:w="3260" w:type="dxa"/>
            <w:shd w:val="clear" w:color="auto" w:fill="auto"/>
            <w:vAlign w:val="center"/>
          </w:tcPr>
          <w:p w14:paraId="4BF83EA4">
            <w:pPr>
              <w:pStyle w:val="18"/>
              <w:rPr>
                <w:rFonts w:hint="eastAsia"/>
                <w:sz w:val="18"/>
                <w:szCs w:val="18"/>
              </w:rPr>
            </w:pPr>
            <w:r>
              <w:rPr>
                <w:rFonts w:hint="eastAsia"/>
                <w:sz w:val="18"/>
                <w:szCs w:val="18"/>
              </w:rPr>
              <w:t>尿素残留差异率，%</w:t>
            </w:r>
            <w:r>
              <w:rPr>
                <w:sz w:val="18"/>
                <w:szCs w:val="18"/>
              </w:rPr>
              <w:t xml:space="preserve">              </w:t>
            </w:r>
            <w:r>
              <w:rPr>
                <w:rFonts w:hint="eastAsia"/>
                <w:sz w:val="18"/>
                <w:szCs w:val="18"/>
              </w:rPr>
              <w:t>≥</w:t>
            </w:r>
          </w:p>
        </w:tc>
        <w:tc>
          <w:tcPr>
            <w:tcW w:w="1662" w:type="dxa"/>
            <w:shd w:val="clear" w:color="auto" w:fill="auto"/>
          </w:tcPr>
          <w:p w14:paraId="0D87EAE1">
            <w:pPr>
              <w:pStyle w:val="18"/>
              <w:rPr>
                <w:rFonts w:hint="eastAsia"/>
                <w:sz w:val="18"/>
                <w:szCs w:val="18"/>
              </w:rPr>
            </w:pPr>
            <w:r>
              <w:rPr>
                <w:rFonts w:hint="eastAsia"/>
                <w:sz w:val="18"/>
                <w:szCs w:val="18"/>
              </w:rPr>
              <w:t>2</w:t>
            </w:r>
            <w:r>
              <w:rPr>
                <w:sz w:val="18"/>
                <w:szCs w:val="18"/>
              </w:rPr>
              <w:t>5</w:t>
            </w:r>
          </w:p>
        </w:tc>
        <w:tc>
          <w:tcPr>
            <w:tcW w:w="1646" w:type="dxa"/>
            <w:shd w:val="clear" w:color="auto" w:fill="auto"/>
          </w:tcPr>
          <w:p w14:paraId="324A704A">
            <w:pPr>
              <w:pStyle w:val="18"/>
              <w:rPr>
                <w:rFonts w:hint="eastAsia"/>
                <w:sz w:val="18"/>
                <w:szCs w:val="18"/>
              </w:rPr>
            </w:pPr>
            <w:r>
              <w:rPr>
                <w:rFonts w:hint="eastAsia"/>
                <w:sz w:val="18"/>
                <w:szCs w:val="18"/>
              </w:rPr>
              <w:t>—</w:t>
            </w:r>
          </w:p>
        </w:tc>
        <w:tc>
          <w:tcPr>
            <w:tcW w:w="1500" w:type="dxa"/>
            <w:shd w:val="clear" w:color="auto" w:fill="auto"/>
          </w:tcPr>
          <w:p w14:paraId="6CC28359">
            <w:pPr>
              <w:pStyle w:val="18"/>
              <w:rPr>
                <w:rFonts w:hint="eastAsia"/>
                <w:sz w:val="18"/>
                <w:szCs w:val="18"/>
              </w:rPr>
            </w:pPr>
            <w:r>
              <w:rPr>
                <w:sz w:val="18"/>
                <w:szCs w:val="18"/>
              </w:rPr>
              <w:t>25</w:t>
            </w:r>
          </w:p>
        </w:tc>
      </w:tr>
      <w:tr w14:paraId="7A6D06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266" w:type="dxa"/>
            <w:vMerge w:val="continue"/>
            <w:shd w:val="clear" w:color="auto" w:fill="auto"/>
            <w:vAlign w:val="center"/>
          </w:tcPr>
          <w:p w14:paraId="16822E24">
            <w:pPr>
              <w:pStyle w:val="18"/>
              <w:rPr>
                <w:rFonts w:hint="eastAsia"/>
                <w:color w:val="auto"/>
                <w:sz w:val="18"/>
                <w:szCs w:val="18"/>
              </w:rPr>
            </w:pPr>
          </w:p>
        </w:tc>
        <w:tc>
          <w:tcPr>
            <w:tcW w:w="3260" w:type="dxa"/>
            <w:shd w:val="clear" w:color="auto" w:fill="auto"/>
            <w:vAlign w:val="center"/>
          </w:tcPr>
          <w:p w14:paraId="1B30D78C">
            <w:pPr>
              <w:pStyle w:val="18"/>
              <w:rPr>
                <w:rFonts w:hint="eastAsia"/>
                <w:sz w:val="18"/>
                <w:szCs w:val="18"/>
              </w:rPr>
            </w:pPr>
            <w:r>
              <w:rPr>
                <w:rFonts w:hint="eastAsia"/>
                <w:sz w:val="18"/>
                <w:szCs w:val="18"/>
              </w:rPr>
              <w:t xml:space="preserve">硝化潜势差异率，% </w:t>
            </w:r>
            <w:r>
              <w:rPr>
                <w:sz w:val="18"/>
                <w:szCs w:val="18"/>
              </w:rPr>
              <w:t xml:space="preserve">             </w:t>
            </w:r>
            <w:r>
              <w:rPr>
                <w:rFonts w:hint="eastAsia"/>
                <w:sz w:val="18"/>
                <w:szCs w:val="18"/>
              </w:rPr>
              <w:t>≥</w:t>
            </w:r>
          </w:p>
        </w:tc>
        <w:tc>
          <w:tcPr>
            <w:tcW w:w="1662" w:type="dxa"/>
            <w:shd w:val="clear" w:color="auto" w:fill="auto"/>
          </w:tcPr>
          <w:p w14:paraId="3BC9DFBD">
            <w:pPr>
              <w:pStyle w:val="18"/>
              <w:rPr>
                <w:rFonts w:hint="eastAsia"/>
                <w:sz w:val="18"/>
                <w:szCs w:val="18"/>
              </w:rPr>
            </w:pPr>
            <w:r>
              <w:rPr>
                <w:rFonts w:hint="eastAsia"/>
                <w:sz w:val="18"/>
                <w:szCs w:val="18"/>
              </w:rPr>
              <w:t>—</w:t>
            </w:r>
          </w:p>
        </w:tc>
        <w:tc>
          <w:tcPr>
            <w:tcW w:w="1646" w:type="dxa"/>
            <w:shd w:val="clear" w:color="auto" w:fill="auto"/>
          </w:tcPr>
          <w:p w14:paraId="4A99333F">
            <w:pPr>
              <w:pStyle w:val="18"/>
              <w:rPr>
                <w:rFonts w:hint="eastAsia"/>
                <w:sz w:val="18"/>
                <w:szCs w:val="18"/>
              </w:rPr>
            </w:pPr>
            <w:r>
              <w:rPr>
                <w:sz w:val="18"/>
                <w:szCs w:val="18"/>
              </w:rPr>
              <w:t>10</w:t>
            </w:r>
          </w:p>
        </w:tc>
        <w:tc>
          <w:tcPr>
            <w:tcW w:w="1500" w:type="dxa"/>
            <w:shd w:val="clear" w:color="auto" w:fill="auto"/>
          </w:tcPr>
          <w:p w14:paraId="724FCCB4">
            <w:pPr>
              <w:pStyle w:val="18"/>
              <w:rPr>
                <w:rFonts w:hint="eastAsia"/>
                <w:sz w:val="18"/>
                <w:szCs w:val="18"/>
              </w:rPr>
            </w:pPr>
            <w:r>
              <w:rPr>
                <w:sz w:val="18"/>
                <w:szCs w:val="18"/>
              </w:rPr>
              <w:t>10</w:t>
            </w:r>
          </w:p>
        </w:tc>
      </w:tr>
      <w:tr w14:paraId="2D21A0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266" w:type="dxa"/>
            <w:vMerge w:val="restart"/>
            <w:shd w:val="clear" w:color="auto" w:fill="auto"/>
            <w:vAlign w:val="center"/>
          </w:tcPr>
          <w:p w14:paraId="43AED350">
            <w:pPr>
              <w:pStyle w:val="18"/>
              <w:rPr>
                <w:rFonts w:hint="default" w:eastAsia="宋体"/>
                <w:color w:val="auto"/>
                <w:sz w:val="18"/>
                <w:szCs w:val="18"/>
                <w:lang w:val="en-US" w:eastAsia="zh-CN"/>
              </w:rPr>
            </w:pPr>
            <w:r>
              <w:rPr>
                <w:rFonts w:hint="eastAsia"/>
                <w:color w:val="auto"/>
                <w:sz w:val="18"/>
                <w:szCs w:val="18"/>
              </w:rPr>
              <w:t>含量</w:t>
            </w:r>
            <w:r>
              <w:rPr>
                <w:rFonts w:hint="eastAsia"/>
                <w:color w:val="auto"/>
                <w:sz w:val="18"/>
                <w:szCs w:val="18"/>
                <w:lang w:val="en-US" w:eastAsia="zh-CN"/>
              </w:rPr>
              <w:t>指标</w:t>
            </w:r>
          </w:p>
        </w:tc>
        <w:tc>
          <w:tcPr>
            <w:tcW w:w="3260" w:type="dxa"/>
            <w:shd w:val="clear" w:color="auto" w:fill="auto"/>
            <w:vAlign w:val="center"/>
          </w:tcPr>
          <w:p w14:paraId="24ED8698">
            <w:pPr>
              <w:pStyle w:val="18"/>
              <w:rPr>
                <w:rFonts w:hint="eastAsia"/>
                <w:sz w:val="18"/>
                <w:szCs w:val="18"/>
              </w:rPr>
            </w:pPr>
            <w:r>
              <w:rPr>
                <w:rFonts w:hint="eastAsia"/>
                <w:sz w:val="18"/>
                <w:szCs w:val="18"/>
              </w:rPr>
              <w:t>正丁基硫代磷酰三胺 NBPT，%</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p>
        </w:tc>
        <w:tc>
          <w:tcPr>
            <w:tcW w:w="1662" w:type="dxa"/>
            <w:shd w:val="clear" w:color="auto" w:fill="auto"/>
          </w:tcPr>
          <w:p w14:paraId="47514996">
            <w:pPr>
              <w:pStyle w:val="18"/>
              <w:rPr>
                <w:rFonts w:hint="eastAsia"/>
                <w:sz w:val="18"/>
                <w:szCs w:val="18"/>
              </w:rPr>
            </w:pPr>
            <w:r>
              <w:rPr>
                <w:rFonts w:hint="eastAsia"/>
                <w:sz w:val="18"/>
                <w:szCs w:val="18"/>
              </w:rPr>
              <w:t>0.</w:t>
            </w:r>
            <w:r>
              <w:rPr>
                <w:sz w:val="18"/>
                <w:szCs w:val="18"/>
              </w:rPr>
              <w:t>02</w:t>
            </w:r>
          </w:p>
        </w:tc>
        <w:tc>
          <w:tcPr>
            <w:tcW w:w="1646" w:type="dxa"/>
            <w:shd w:val="clear" w:color="auto" w:fill="auto"/>
          </w:tcPr>
          <w:p w14:paraId="1480ED91">
            <w:pPr>
              <w:pStyle w:val="18"/>
              <w:rPr>
                <w:rFonts w:hint="eastAsia"/>
                <w:sz w:val="18"/>
                <w:szCs w:val="18"/>
              </w:rPr>
            </w:pPr>
            <w:r>
              <w:rPr>
                <w:rFonts w:hint="eastAsia"/>
                <w:sz w:val="18"/>
                <w:szCs w:val="18"/>
              </w:rPr>
              <w:t>—</w:t>
            </w:r>
          </w:p>
        </w:tc>
        <w:tc>
          <w:tcPr>
            <w:tcW w:w="1500" w:type="dxa"/>
            <w:shd w:val="clear" w:color="auto" w:fill="auto"/>
          </w:tcPr>
          <w:p w14:paraId="312680A2">
            <w:pPr>
              <w:pStyle w:val="18"/>
              <w:rPr>
                <w:rFonts w:hint="eastAsia"/>
                <w:sz w:val="18"/>
                <w:szCs w:val="18"/>
              </w:rPr>
            </w:pPr>
            <w:r>
              <w:rPr>
                <w:sz w:val="18"/>
                <w:szCs w:val="18"/>
              </w:rPr>
              <w:t>0.02</w:t>
            </w:r>
          </w:p>
        </w:tc>
      </w:tr>
      <w:tr w14:paraId="078D42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266" w:type="dxa"/>
            <w:vMerge w:val="continue"/>
            <w:shd w:val="clear" w:color="auto" w:fill="auto"/>
            <w:vAlign w:val="center"/>
          </w:tcPr>
          <w:p w14:paraId="7E077901">
            <w:pPr>
              <w:pStyle w:val="18"/>
              <w:rPr>
                <w:rFonts w:hint="eastAsia"/>
                <w:sz w:val="18"/>
                <w:szCs w:val="18"/>
              </w:rPr>
            </w:pPr>
          </w:p>
        </w:tc>
        <w:tc>
          <w:tcPr>
            <w:tcW w:w="3260" w:type="dxa"/>
            <w:shd w:val="clear" w:color="auto" w:fill="auto"/>
            <w:vAlign w:val="center"/>
          </w:tcPr>
          <w:p w14:paraId="7FBA15B8">
            <w:pPr>
              <w:pStyle w:val="18"/>
              <w:rPr>
                <w:rFonts w:hint="eastAsia"/>
                <w:sz w:val="18"/>
                <w:szCs w:val="18"/>
              </w:rPr>
            </w:pPr>
            <w:r>
              <w:rPr>
                <w:rFonts w:hint="eastAsia"/>
                <w:sz w:val="18"/>
                <w:szCs w:val="18"/>
              </w:rPr>
              <w:t xml:space="preserve">双氰胺 DCD，%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p>
        </w:tc>
        <w:tc>
          <w:tcPr>
            <w:tcW w:w="1662" w:type="dxa"/>
            <w:shd w:val="clear" w:color="auto" w:fill="auto"/>
          </w:tcPr>
          <w:p w14:paraId="20E02583">
            <w:pPr>
              <w:pStyle w:val="18"/>
              <w:rPr>
                <w:rFonts w:hint="eastAsia"/>
                <w:sz w:val="18"/>
                <w:szCs w:val="18"/>
              </w:rPr>
            </w:pPr>
            <w:r>
              <w:rPr>
                <w:rFonts w:hint="eastAsia"/>
                <w:sz w:val="18"/>
                <w:szCs w:val="18"/>
              </w:rPr>
              <w:t>—</w:t>
            </w:r>
          </w:p>
        </w:tc>
        <w:tc>
          <w:tcPr>
            <w:tcW w:w="1646" w:type="dxa"/>
            <w:shd w:val="clear" w:color="auto" w:fill="auto"/>
          </w:tcPr>
          <w:p w14:paraId="520BDB32">
            <w:pPr>
              <w:pStyle w:val="18"/>
              <w:rPr>
                <w:rFonts w:hint="eastAsia"/>
                <w:sz w:val="18"/>
                <w:szCs w:val="18"/>
              </w:rPr>
            </w:pPr>
            <w:r>
              <w:rPr>
                <w:sz w:val="18"/>
                <w:szCs w:val="18"/>
              </w:rPr>
              <w:t>0.05</w:t>
            </w:r>
          </w:p>
        </w:tc>
        <w:tc>
          <w:tcPr>
            <w:tcW w:w="1500" w:type="dxa"/>
            <w:shd w:val="clear" w:color="auto" w:fill="auto"/>
          </w:tcPr>
          <w:p w14:paraId="2BE4E761">
            <w:pPr>
              <w:pStyle w:val="18"/>
              <w:rPr>
                <w:rFonts w:hint="eastAsia"/>
                <w:sz w:val="18"/>
                <w:szCs w:val="18"/>
              </w:rPr>
            </w:pPr>
            <w:r>
              <w:rPr>
                <w:sz w:val="18"/>
                <w:szCs w:val="18"/>
              </w:rPr>
              <w:t>0.05</w:t>
            </w:r>
          </w:p>
        </w:tc>
      </w:tr>
      <w:tr w14:paraId="37CED0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266" w:type="dxa"/>
            <w:vMerge w:val="continue"/>
            <w:tcBorders>
              <w:bottom w:val="single" w:color="auto" w:sz="8" w:space="0"/>
            </w:tcBorders>
            <w:shd w:val="clear" w:color="auto" w:fill="auto"/>
            <w:vAlign w:val="center"/>
          </w:tcPr>
          <w:p w14:paraId="5138BB1D">
            <w:pPr>
              <w:pStyle w:val="18"/>
              <w:rPr>
                <w:rFonts w:hint="eastAsia"/>
                <w:sz w:val="18"/>
                <w:szCs w:val="18"/>
              </w:rPr>
            </w:pPr>
          </w:p>
        </w:tc>
        <w:tc>
          <w:tcPr>
            <w:tcW w:w="3260" w:type="dxa"/>
            <w:tcBorders>
              <w:bottom w:val="single" w:color="auto" w:sz="8" w:space="0"/>
            </w:tcBorders>
            <w:shd w:val="clear" w:color="auto" w:fill="auto"/>
            <w:vAlign w:val="center"/>
          </w:tcPr>
          <w:p w14:paraId="086F17A3">
            <w:pPr>
              <w:pStyle w:val="18"/>
              <w:rPr>
                <w:rFonts w:hint="eastAsia"/>
                <w:sz w:val="18"/>
                <w:szCs w:val="18"/>
              </w:rPr>
            </w:pPr>
            <w:r>
              <w:rPr>
                <w:rFonts w:hint="eastAsia"/>
                <w:sz w:val="18"/>
                <w:szCs w:val="18"/>
              </w:rPr>
              <w:t xml:space="preserve">3,4-二甲基吡唑磷酸盐 DMPP，% </w:t>
            </w:r>
            <w:r>
              <w:rPr>
                <w:sz w:val="18"/>
                <w:szCs w:val="18"/>
              </w:rPr>
              <w:t xml:space="preserve"> </w:t>
            </w:r>
            <w:r>
              <w:rPr>
                <w:rFonts w:hint="eastAsia"/>
                <w:sz w:val="18"/>
                <w:szCs w:val="18"/>
              </w:rPr>
              <w:t>≥</w:t>
            </w:r>
          </w:p>
        </w:tc>
        <w:tc>
          <w:tcPr>
            <w:tcW w:w="1662" w:type="dxa"/>
            <w:tcBorders>
              <w:bottom w:val="single" w:color="auto" w:sz="8" w:space="0"/>
            </w:tcBorders>
            <w:shd w:val="clear" w:color="auto" w:fill="auto"/>
          </w:tcPr>
          <w:p w14:paraId="28EA825C">
            <w:pPr>
              <w:pStyle w:val="18"/>
              <w:rPr>
                <w:rFonts w:hint="eastAsia"/>
                <w:sz w:val="18"/>
                <w:szCs w:val="18"/>
              </w:rPr>
            </w:pPr>
            <w:r>
              <w:rPr>
                <w:rFonts w:hint="eastAsia"/>
                <w:sz w:val="18"/>
                <w:szCs w:val="18"/>
              </w:rPr>
              <w:t>—</w:t>
            </w:r>
          </w:p>
        </w:tc>
        <w:tc>
          <w:tcPr>
            <w:tcW w:w="1646" w:type="dxa"/>
            <w:tcBorders>
              <w:bottom w:val="single" w:color="auto" w:sz="8" w:space="0"/>
            </w:tcBorders>
            <w:shd w:val="clear" w:color="auto" w:fill="auto"/>
          </w:tcPr>
          <w:p w14:paraId="4797DB76">
            <w:pPr>
              <w:pStyle w:val="18"/>
              <w:rPr>
                <w:rFonts w:hint="eastAsia"/>
                <w:sz w:val="18"/>
                <w:szCs w:val="18"/>
              </w:rPr>
            </w:pPr>
            <w:r>
              <w:rPr>
                <w:sz w:val="18"/>
                <w:szCs w:val="18"/>
              </w:rPr>
              <w:t>0.08</w:t>
            </w:r>
          </w:p>
        </w:tc>
        <w:tc>
          <w:tcPr>
            <w:tcW w:w="1500" w:type="dxa"/>
            <w:tcBorders>
              <w:bottom w:val="single" w:color="auto" w:sz="8" w:space="0"/>
            </w:tcBorders>
            <w:shd w:val="clear" w:color="auto" w:fill="auto"/>
          </w:tcPr>
          <w:p w14:paraId="27CB281E">
            <w:pPr>
              <w:pStyle w:val="18"/>
              <w:rPr>
                <w:rFonts w:hint="eastAsia"/>
                <w:sz w:val="18"/>
                <w:szCs w:val="18"/>
              </w:rPr>
            </w:pPr>
            <w:r>
              <w:rPr>
                <w:sz w:val="18"/>
                <w:szCs w:val="18"/>
              </w:rPr>
              <w:t>0.08</w:t>
            </w:r>
          </w:p>
        </w:tc>
      </w:tr>
      <w:tr w14:paraId="6A9F70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9334" w:type="dxa"/>
            <w:gridSpan w:val="5"/>
            <w:tcBorders>
              <w:top w:val="single" w:color="auto" w:sz="8" w:space="0"/>
              <w:bottom w:val="single" w:color="auto" w:sz="8" w:space="0"/>
            </w:tcBorders>
            <w:shd w:val="clear" w:color="auto" w:fill="auto"/>
            <w:vAlign w:val="center"/>
          </w:tcPr>
          <w:p w14:paraId="4258FAEF">
            <w:pPr>
              <w:pStyle w:val="17"/>
              <w:rPr>
                <w:sz w:val="18"/>
                <w:szCs w:val="18"/>
              </w:rPr>
            </w:pPr>
            <w:r>
              <w:rPr>
                <w:rFonts w:hint="eastAsia"/>
                <w:sz w:val="18"/>
                <w:szCs w:val="18"/>
              </w:rPr>
              <w:t>“—”表示不做要求</w:t>
            </w:r>
            <w:r>
              <w:rPr>
                <w:rFonts w:hint="eastAsia"/>
                <w:color w:val="auto"/>
                <w:sz w:val="18"/>
                <w:szCs w:val="18"/>
                <w:lang w:eastAsia="zh-CN"/>
              </w:rPr>
              <w:t>；</w:t>
            </w:r>
            <w:r>
              <w:rPr>
                <w:rFonts w:hint="eastAsia"/>
                <w:color w:val="auto"/>
                <w:sz w:val="18"/>
                <w:szCs w:val="18"/>
                <w:lang w:val="en-US" w:eastAsia="zh-CN"/>
              </w:rPr>
              <w:t>采用含量指标时，</w:t>
            </w:r>
            <w:r>
              <w:rPr>
                <w:rFonts w:hint="eastAsia"/>
                <w:color w:val="auto"/>
                <w:sz w:val="18"/>
                <w:szCs w:val="18"/>
                <w:lang w:eastAsia="zh-CN"/>
              </w:rPr>
              <w:t>硝化抑制型中的DCD和DMPP含量，满足其中</w:t>
            </w:r>
            <w:r>
              <w:rPr>
                <w:rFonts w:hint="eastAsia"/>
                <w:color w:val="auto"/>
                <w:sz w:val="18"/>
                <w:szCs w:val="18"/>
                <w:lang w:val="en-US" w:eastAsia="zh-CN"/>
              </w:rPr>
              <w:t>一</w:t>
            </w:r>
            <w:r>
              <w:rPr>
                <w:rFonts w:hint="eastAsia"/>
                <w:color w:val="auto"/>
                <w:sz w:val="18"/>
                <w:szCs w:val="18"/>
                <w:lang w:eastAsia="zh-CN"/>
              </w:rPr>
              <w:t>种即可达到要求。复合型应同时满足脲酶抑制剂含量要求和硝化抑制含量要求（DCD与DMPP满足其一即可）。</w:t>
            </w:r>
          </w:p>
        </w:tc>
      </w:tr>
    </w:tbl>
    <w:p w14:paraId="193E048D">
      <w:pPr>
        <w:keepLines w:val="0"/>
        <w:pageBreakBefore w:val="0"/>
        <w:numPr>
          <w:ilvl w:val="0"/>
          <w:numId w:val="0"/>
        </w:numPr>
        <w:wordWrap/>
        <w:overflowPunct/>
        <w:topLinePunct w:val="0"/>
        <w:bidi w:val="0"/>
        <w:spacing w:line="360" w:lineRule="auto"/>
        <w:ind w:left="0" w:leftChars="0" w:firstLine="0" w:firstLineChars="0"/>
        <w:rPr>
          <w:rFonts w:hint="eastAsia" w:asciiTheme="minorHAnsi" w:hAnsiTheme="minorHAnsi" w:eastAsiaTheme="minorEastAsia" w:cstheme="minorBidi"/>
          <w:b/>
          <w:bCs/>
          <w:kern w:val="2"/>
          <w:sz w:val="24"/>
          <w:szCs w:val="24"/>
          <w:lang w:val="en-US" w:eastAsia="zh-CN" w:bidi="ar-SA"/>
        </w:rPr>
      </w:pPr>
    </w:p>
    <w:p w14:paraId="4EBACD69">
      <w:pPr>
        <w:pStyle w:val="6"/>
        <w:keepLines w:val="0"/>
        <w:pageBreakBefore w:val="0"/>
        <w:numPr>
          <w:ilvl w:val="0"/>
          <w:numId w:val="6"/>
        </w:numPr>
        <w:wordWrap/>
        <w:overflowPunct/>
        <w:topLinePunct w:val="0"/>
        <w:bidi w:val="0"/>
        <w:spacing w:line="360" w:lineRule="auto"/>
        <w:ind w:left="0" w:leftChars="0" w:firstLine="0" w:firstLineChars="0"/>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pPr>
      <w:r>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t>试验方法</w:t>
      </w:r>
    </w:p>
    <w:p w14:paraId="38C41565">
      <w:pPr>
        <w:pStyle w:val="6"/>
        <w:keepLines w:val="0"/>
        <w:pageBreakBefore w:val="0"/>
        <w:numPr>
          <w:ilvl w:val="0"/>
          <w:numId w:val="0"/>
        </w:numPr>
        <w:wordWrap/>
        <w:overflowPunct/>
        <w:topLinePunct w:val="0"/>
        <w:bidi w:val="0"/>
        <w:spacing w:line="360" w:lineRule="auto"/>
        <w:ind w:leftChars="0" w:firstLine="480" w:firstLineChars="200"/>
        <w:rPr>
          <w:rFonts w:hint="default"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pPr>
      <w:r>
        <w:rPr>
          <w:rFonts w:hint="eastAsia"/>
          <w:sz w:val="24"/>
          <w:szCs w:val="24"/>
        </w:rPr>
        <w:t>警告——试剂中的浓盐酸具有腐蚀性，试验人员应进行适当防护。本文件并未指出所有可能的安全问题，使用者有责任采取适当的安全和健康措施，并保证符合国家有关法规规定的条件。本方法所用试剂及溶液的配制，在未注明规格和配制方法时，除非另有说明，均指分析纯试剂。实验中所使用的标准溶液，按HG/T 2843规定制备。</w:t>
      </w:r>
    </w:p>
    <w:p w14:paraId="1FC01439">
      <w:pPr>
        <w:pStyle w:val="6"/>
        <w:keepLines w:val="0"/>
        <w:pageBreakBefore w:val="0"/>
        <w:wordWrap/>
        <w:overflowPunct/>
        <w:topLinePunct w:val="0"/>
        <w:bidi w:val="0"/>
        <w:spacing w:line="360" w:lineRule="auto"/>
        <w:ind w:left="0" w:leftChars="0" w:firstLine="0" w:firstLineChars="0"/>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pPr>
      <w:r>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t>5.1　外观：目视法。</w:t>
      </w:r>
    </w:p>
    <w:p w14:paraId="5E4B12B5">
      <w:pPr>
        <w:pStyle w:val="6"/>
        <w:keepLines w:val="0"/>
        <w:pageBreakBefore w:val="0"/>
        <w:wordWrap/>
        <w:overflowPunct/>
        <w:topLinePunct w:val="0"/>
        <w:bidi w:val="0"/>
        <w:spacing w:line="360" w:lineRule="auto"/>
        <w:ind w:left="0" w:leftChars="0" w:firstLine="0" w:firstLineChars="0"/>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pPr>
      <w:r>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t>5.2　尿素残留差异率</w:t>
      </w:r>
    </w:p>
    <w:p w14:paraId="3FD2EA4F">
      <w:pPr>
        <w:pStyle w:val="19"/>
        <w:keepNext w:val="0"/>
        <w:keepLines w:val="0"/>
        <w:pageBreakBefore w:val="0"/>
        <w:numPr>
          <w:ilvl w:val="3"/>
          <w:numId w:val="0"/>
        </w:numPr>
        <w:wordWrap/>
        <w:overflowPunct/>
        <w:topLinePunct w:val="0"/>
        <w:bidi w:val="0"/>
        <w:adjustRightInd/>
        <w:spacing w:before="156" w:after="156" w:line="360" w:lineRule="auto"/>
        <w:ind w:leftChars="0"/>
        <w:rPr>
          <w:color w:val="000000" w:themeColor="text1"/>
          <w:sz w:val="24"/>
          <w:szCs w:val="24"/>
          <w14:textFill>
            <w14:solidFill>
              <w14:schemeClr w14:val="tx1"/>
            </w14:solidFill>
          </w14:textFill>
        </w:rPr>
      </w:pPr>
      <w:bookmarkStart w:id="10" w:name="_Toc231994774"/>
      <w:r>
        <w:rPr>
          <w:rFonts w:hint="eastAsia"/>
          <w:color w:val="000000" w:themeColor="text1"/>
          <w:sz w:val="24"/>
          <w:szCs w:val="24"/>
          <w:lang w:val="en-US" w:eastAsia="zh-CN"/>
          <w14:textFill>
            <w14:solidFill>
              <w14:schemeClr w14:val="tx1"/>
            </w14:solidFill>
          </w14:textFill>
        </w:rPr>
        <w:t>5.2.1</w:t>
      </w:r>
      <w:r>
        <w:rPr>
          <w:rFonts w:hint="eastAsia"/>
          <w:color w:val="000000" w:themeColor="text1"/>
          <w:sz w:val="24"/>
          <w:szCs w:val="24"/>
          <w14:textFill>
            <w14:solidFill>
              <w14:schemeClr w14:val="tx1"/>
            </w14:solidFill>
          </w14:textFill>
        </w:rPr>
        <w:t>原理</w:t>
      </w:r>
      <w:bookmarkEnd w:id="10"/>
    </w:p>
    <w:p w14:paraId="1973B0BE">
      <w:pPr>
        <w:pStyle w:val="6"/>
        <w:keepNext w:val="0"/>
        <w:keepLines w:val="0"/>
        <w:pageBreakBefore w:val="0"/>
        <w:wordWrap/>
        <w:overflowPunct/>
        <w:topLinePunct w:val="0"/>
        <w:bidi w:val="0"/>
        <w:adjustRightInd/>
        <w:spacing w:line="360" w:lineRule="auto"/>
        <w:ind w:firstLine="42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脲酶抑制剂能够抑制脲酶对尿素的水解作用。在土壤和脲酶溶液的存在下，经过一段时间的培养，含有脲酶抑制剂的试样和对照样品的尿素残留量会产生差异，</w:t>
      </w:r>
      <w:r>
        <w:rPr>
          <w:rFonts w:hint="eastAsia"/>
          <w:color w:val="000000" w:themeColor="text1"/>
          <w:sz w:val="24"/>
          <w:szCs w:val="24"/>
          <w:lang w:val="en-US" w:eastAsia="zh-CN"/>
          <w14:textFill>
            <w14:solidFill>
              <w14:schemeClr w14:val="tx1"/>
            </w14:solidFill>
          </w14:textFill>
        </w:rPr>
        <w:t>将</w:t>
      </w:r>
      <w:r>
        <w:rPr>
          <w:rFonts w:hint="eastAsia"/>
          <w:color w:val="000000" w:themeColor="text1"/>
          <w:sz w:val="24"/>
          <w:szCs w:val="24"/>
          <w14:textFill>
            <w14:solidFill>
              <w14:schemeClr w14:val="tx1"/>
            </w14:solidFill>
          </w14:textFill>
        </w:rPr>
        <w:t>此差值与</w:t>
      </w:r>
      <w:r>
        <w:rPr>
          <w:rFonts w:hint="eastAsia"/>
          <w:color w:val="000000" w:themeColor="text1"/>
          <w:sz w:val="24"/>
          <w:szCs w:val="24"/>
          <w:lang w:val="en-US" w:eastAsia="zh-CN"/>
          <w14:textFill>
            <w14:solidFill>
              <w14:schemeClr w14:val="tx1"/>
            </w14:solidFill>
          </w14:textFill>
        </w:rPr>
        <w:t>试样尿素残留量</w:t>
      </w:r>
      <w:r>
        <w:rPr>
          <w:rFonts w:hint="eastAsia"/>
          <w:color w:val="000000" w:themeColor="text1"/>
          <w:sz w:val="24"/>
          <w:szCs w:val="24"/>
          <w14:textFill>
            <w14:solidFill>
              <w14:schemeClr w14:val="tx1"/>
            </w14:solidFill>
          </w14:textFill>
        </w:rPr>
        <w:t>的百分比即尿素残留差异率作为评价指标。</w:t>
      </w:r>
    </w:p>
    <w:p w14:paraId="06502CEA">
      <w:pPr>
        <w:pStyle w:val="6"/>
        <w:keepNext w:val="0"/>
        <w:keepLines w:val="0"/>
        <w:pageBreakBefore w:val="0"/>
        <w:wordWrap/>
        <w:overflowPunct/>
        <w:topLinePunct w:val="0"/>
        <w:bidi w:val="0"/>
        <w:adjustRightInd/>
        <w:spacing w:line="360" w:lineRule="auto"/>
        <w:ind w:firstLine="42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对二甲氨基苯甲醛与尿素在浓盐酸作催化剂和无水乙醇作溶剂条件下，反应生成黄棕色的有机化合物。用分光光度计在420 nm处测定吸光度，得到相应的尿素含量。</w:t>
      </w:r>
    </w:p>
    <w:p w14:paraId="4CD7AFD9">
      <w:pPr>
        <w:pStyle w:val="19"/>
        <w:keepNext w:val="0"/>
        <w:keepLines w:val="0"/>
        <w:pageBreakBefore w:val="0"/>
        <w:numPr>
          <w:ilvl w:val="3"/>
          <w:numId w:val="0"/>
        </w:numPr>
        <w:wordWrap/>
        <w:overflowPunct/>
        <w:topLinePunct w:val="0"/>
        <w:bidi w:val="0"/>
        <w:adjustRightInd/>
        <w:spacing w:before="156" w:after="156" w:line="360" w:lineRule="auto"/>
        <w:ind w:leftChars="0"/>
        <w:rPr>
          <w:color w:val="000000" w:themeColor="text1"/>
          <w:sz w:val="24"/>
          <w:szCs w:val="24"/>
          <w14:textFill>
            <w14:solidFill>
              <w14:schemeClr w14:val="tx1"/>
            </w14:solidFill>
          </w14:textFill>
        </w:rPr>
      </w:pPr>
      <w:bookmarkStart w:id="11" w:name="_Toc231994775"/>
      <w:r>
        <w:rPr>
          <w:rFonts w:hint="eastAsia"/>
          <w:color w:val="000000" w:themeColor="text1"/>
          <w:sz w:val="24"/>
          <w:szCs w:val="24"/>
          <w:lang w:val="en-US" w:eastAsia="zh-CN"/>
          <w14:textFill>
            <w14:solidFill>
              <w14:schemeClr w14:val="tx1"/>
            </w14:solidFill>
          </w14:textFill>
        </w:rPr>
        <w:t>5.2.2</w:t>
      </w:r>
      <w:r>
        <w:rPr>
          <w:rFonts w:hint="eastAsia"/>
          <w:color w:val="000000" w:themeColor="text1"/>
          <w:sz w:val="24"/>
          <w:szCs w:val="24"/>
          <w14:textFill>
            <w14:solidFill>
              <w14:schemeClr w14:val="tx1"/>
            </w14:solidFill>
          </w14:textFill>
        </w:rPr>
        <w:t>试剂或材料</w:t>
      </w:r>
      <w:bookmarkEnd w:id="11"/>
      <w:r>
        <w:rPr>
          <w:rFonts w:hint="eastAsia"/>
          <w:color w:val="000000" w:themeColor="text1"/>
          <w:sz w:val="24"/>
          <w:szCs w:val="24"/>
          <w:lang w:val="en-US" w:eastAsia="zh-CN"/>
          <w14:textFill>
            <w14:solidFill>
              <w14:schemeClr w14:val="tx1"/>
            </w14:solidFill>
          </w14:textFill>
        </w:rPr>
        <w:t xml:space="preserve"> </w:t>
      </w:r>
    </w:p>
    <w:p w14:paraId="0982036F">
      <w:pPr>
        <w:pStyle w:val="20"/>
        <w:keepNext w:val="0"/>
        <w:keepLines w:val="0"/>
        <w:pageBreakBefore w:val="0"/>
        <w:numPr>
          <w:ilvl w:val="4"/>
          <w:numId w:val="0"/>
        </w:numPr>
        <w:wordWrap/>
        <w:overflowPunct/>
        <w:topLinePunct w:val="0"/>
        <w:bidi w:val="0"/>
        <w:adjustRightInd/>
        <w:spacing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5.2.2.1 </w:t>
      </w:r>
      <w:r>
        <w:rPr>
          <w:rFonts w:hint="eastAsia"/>
          <w:color w:val="000000" w:themeColor="text1"/>
          <w:sz w:val="24"/>
          <w:szCs w:val="24"/>
          <w14:textFill>
            <w14:solidFill>
              <w14:schemeClr w14:val="tx1"/>
            </w14:solidFill>
          </w14:textFill>
        </w:rPr>
        <w:t>脲酶：巨豆酶，活性为1 U/mg，-20℃冰箱内保存。</w:t>
      </w:r>
    </w:p>
    <w:p w14:paraId="5BCA6681">
      <w:pPr>
        <w:pStyle w:val="20"/>
        <w:keepNext w:val="0"/>
        <w:keepLines w:val="0"/>
        <w:pageBreakBefore w:val="0"/>
        <w:numPr>
          <w:ilvl w:val="4"/>
          <w:numId w:val="0"/>
        </w:numPr>
        <w:wordWrap/>
        <w:overflowPunct/>
        <w:topLinePunct w:val="0"/>
        <w:bidi w:val="0"/>
        <w:adjustRightInd/>
        <w:spacing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5.2.2.2 </w:t>
      </w:r>
      <w:r>
        <w:rPr>
          <w:rFonts w:hint="eastAsia"/>
          <w:color w:val="000000" w:themeColor="text1"/>
          <w:sz w:val="24"/>
          <w:szCs w:val="24"/>
          <w14:textFill>
            <w14:solidFill>
              <w14:schemeClr w14:val="tx1"/>
            </w14:solidFill>
          </w14:textFill>
        </w:rPr>
        <w:t>对二甲氨基苯甲醛显色剂：准确称量2.0000 g对二甲氨基苯甲醛溶于由10 mL浓盐酸和100 mL无水乙醇组成的混合液中，于棕色瓶中存放。</w:t>
      </w:r>
    </w:p>
    <w:p w14:paraId="7ECB5101">
      <w:pPr>
        <w:pStyle w:val="20"/>
        <w:keepNext w:val="0"/>
        <w:keepLines w:val="0"/>
        <w:pageBreakBefore w:val="0"/>
        <w:numPr>
          <w:ilvl w:val="4"/>
          <w:numId w:val="0"/>
        </w:numPr>
        <w:wordWrap/>
        <w:overflowPunct/>
        <w:topLinePunct w:val="0"/>
        <w:bidi w:val="0"/>
        <w:adjustRightInd/>
        <w:spacing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5.2.2.3 </w:t>
      </w:r>
      <w:r>
        <w:rPr>
          <w:rFonts w:hint="eastAsia"/>
          <w:color w:val="000000" w:themeColor="text1"/>
          <w:sz w:val="24"/>
          <w:szCs w:val="24"/>
          <w14:textFill>
            <w14:solidFill>
              <w14:schemeClr w14:val="tx1"/>
            </w14:solidFill>
          </w14:textFill>
        </w:rPr>
        <w:t>缓冲液：称取22.25 g磷酸氢二钠和17.00 g磷酸二氢钾溶解于800 mL水中，定容至2 L</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混匀</w:t>
      </w:r>
      <w:r>
        <w:rPr>
          <w:rFonts w:hint="eastAsia"/>
          <w:color w:val="000000" w:themeColor="text1"/>
          <w:sz w:val="24"/>
          <w:szCs w:val="24"/>
          <w14:textFill>
            <w14:solidFill>
              <w14:schemeClr w14:val="tx1"/>
            </w14:solidFill>
          </w14:textFill>
        </w:rPr>
        <w:t>。</w:t>
      </w:r>
    </w:p>
    <w:p w14:paraId="58EF9404">
      <w:pPr>
        <w:pStyle w:val="20"/>
        <w:keepNext w:val="0"/>
        <w:keepLines w:val="0"/>
        <w:pageBreakBefore w:val="0"/>
        <w:numPr>
          <w:ilvl w:val="4"/>
          <w:numId w:val="0"/>
        </w:numPr>
        <w:wordWrap/>
        <w:overflowPunct/>
        <w:topLinePunct w:val="0"/>
        <w:bidi w:val="0"/>
        <w:adjustRightInd/>
        <w:spacing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5.2.2.4 </w:t>
      </w:r>
      <w:r>
        <w:rPr>
          <w:rFonts w:hint="eastAsia"/>
          <w:color w:val="000000" w:themeColor="text1"/>
          <w:sz w:val="24"/>
          <w:szCs w:val="24"/>
          <w14:textFill>
            <w14:solidFill>
              <w14:schemeClr w14:val="tx1"/>
            </w14:solidFill>
          </w14:textFill>
        </w:rPr>
        <w:t>脲酶溶液 ρ=0.15 g/L：称取0.1500 g活性为1U/mg的脲酶干粉，溶解于缓冲液中，用缓冲液定容至1000 mL</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混匀</w:t>
      </w:r>
      <w:r>
        <w:rPr>
          <w:rFonts w:hint="eastAsia"/>
          <w:color w:val="000000" w:themeColor="text1"/>
          <w:sz w:val="24"/>
          <w:szCs w:val="24"/>
          <w14:textFill>
            <w14:solidFill>
              <w14:schemeClr w14:val="tx1"/>
            </w14:solidFill>
          </w14:textFill>
        </w:rPr>
        <w:t>，现用现配。</w:t>
      </w:r>
    </w:p>
    <w:p w14:paraId="7A0E32A5">
      <w:pPr>
        <w:pStyle w:val="20"/>
        <w:keepNext w:val="0"/>
        <w:keepLines w:val="0"/>
        <w:pageBreakBefore w:val="0"/>
        <w:numPr>
          <w:ilvl w:val="4"/>
          <w:numId w:val="0"/>
        </w:numPr>
        <w:wordWrap/>
        <w:overflowPunct/>
        <w:topLinePunct w:val="0"/>
        <w:bidi w:val="0"/>
        <w:adjustRightInd/>
        <w:spacing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5.2.2.5 </w:t>
      </w:r>
      <w:r>
        <w:rPr>
          <w:rFonts w:hint="eastAsia"/>
          <w:color w:val="000000" w:themeColor="text1"/>
          <w:sz w:val="24"/>
          <w:szCs w:val="24"/>
          <w14:textFill>
            <w14:solidFill>
              <w14:schemeClr w14:val="tx1"/>
            </w14:solidFill>
          </w14:textFill>
        </w:rPr>
        <w:t>尿素标准溶液ρ=0.5 g/L：称取0.5000g尿素（分析纯）溶解于500 mL水中，定容至1 L</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混匀</w:t>
      </w:r>
      <w:r>
        <w:rPr>
          <w:rFonts w:hint="eastAsia"/>
          <w:color w:val="000000" w:themeColor="text1"/>
          <w:sz w:val="24"/>
          <w:szCs w:val="24"/>
          <w14:textFill>
            <w14:solidFill>
              <w14:schemeClr w14:val="tx1"/>
            </w14:solidFill>
          </w14:textFill>
        </w:rPr>
        <w:t>，置于冰箱中4℃冷藏保存。</w:t>
      </w:r>
    </w:p>
    <w:p w14:paraId="0DB9D1F1">
      <w:pPr>
        <w:pStyle w:val="20"/>
        <w:keepNext w:val="0"/>
        <w:keepLines w:val="0"/>
        <w:pageBreakBefore w:val="0"/>
        <w:numPr>
          <w:ilvl w:val="4"/>
          <w:numId w:val="0"/>
        </w:numPr>
        <w:wordWrap/>
        <w:overflowPunct/>
        <w:topLinePunct w:val="0"/>
        <w:bidi w:val="0"/>
        <w:adjustRightInd/>
        <w:spacing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5.2.2.6 </w:t>
      </w:r>
      <w:r>
        <w:rPr>
          <w:rFonts w:hint="eastAsia"/>
          <w:color w:val="000000" w:themeColor="text1"/>
          <w:sz w:val="24"/>
          <w:szCs w:val="24"/>
          <w14:textFill>
            <w14:solidFill>
              <w14:schemeClr w14:val="tx1"/>
            </w14:solidFill>
          </w14:textFill>
        </w:rPr>
        <w:t>土壤：按</w:t>
      </w:r>
      <w:r>
        <w:rPr>
          <w:rFonts w:hint="eastAsia"/>
          <w:color w:val="000000" w:themeColor="text1"/>
          <w:sz w:val="24"/>
          <w:szCs w:val="24"/>
          <w:lang w:val="en-US" w:eastAsia="zh-CN"/>
          <w14:textFill>
            <w14:solidFill>
              <w14:schemeClr w14:val="tx1"/>
            </w14:solidFill>
          </w14:textFill>
        </w:rPr>
        <w:t>NY/T 1121.1中的方法</w:t>
      </w:r>
      <w:r>
        <w:rPr>
          <w:rFonts w:hint="eastAsia"/>
          <w:color w:val="000000" w:themeColor="text1"/>
          <w:sz w:val="24"/>
          <w:szCs w:val="24"/>
          <w14:textFill>
            <w14:solidFill>
              <w14:schemeClr w14:val="tx1"/>
            </w14:solidFill>
          </w14:textFill>
        </w:rPr>
        <w:t>采</w:t>
      </w:r>
      <w:r>
        <w:rPr>
          <w:rFonts w:hint="eastAsia"/>
          <w:color w:val="000000" w:themeColor="text1"/>
          <w:sz w:val="24"/>
          <w:szCs w:val="24"/>
          <w:lang w:val="en-US" w:eastAsia="zh-CN"/>
          <w14:textFill>
            <w14:solidFill>
              <w14:schemeClr w14:val="tx1"/>
            </w14:solidFill>
          </w14:textFill>
        </w:rPr>
        <w:t>集</w:t>
      </w:r>
      <w:r>
        <w:rPr>
          <w:rFonts w:hint="eastAsia"/>
          <w:color w:val="000000" w:themeColor="text1"/>
          <w:sz w:val="24"/>
          <w:szCs w:val="24"/>
          <w14:textFill>
            <w14:solidFill>
              <w14:schemeClr w14:val="tx1"/>
            </w14:solidFill>
          </w14:textFill>
        </w:rPr>
        <w:t>未施肥料两个月以上的耕层土壤（0-20 cm，pH 5.5-</w:t>
      </w:r>
      <w:r>
        <w:rPr>
          <w:rFonts w:hint="eastAsia"/>
          <w:color w:val="000000" w:themeColor="text1"/>
          <w:sz w:val="24"/>
          <w:szCs w:val="24"/>
          <w:lang w:val="en-US" w:eastAsia="zh-CN"/>
          <w14:textFill>
            <w14:solidFill>
              <w14:schemeClr w14:val="tx1"/>
            </w14:solidFill>
          </w14:textFill>
        </w:rPr>
        <w:t>7</w:t>
      </w:r>
      <w:r>
        <w:rPr>
          <w:rFonts w:hint="eastAsia"/>
          <w:color w:val="000000" w:themeColor="text1"/>
          <w:sz w:val="24"/>
          <w:szCs w:val="24"/>
          <w14:textFill>
            <w14:solidFill>
              <w14:schemeClr w14:val="tx1"/>
            </w14:solidFill>
          </w14:textFill>
        </w:rPr>
        <w:t>.5）</w:t>
      </w:r>
      <w:r>
        <w:rPr>
          <w:rFonts w:hint="eastAsia"/>
          <w:color w:val="000000" w:themeColor="text1"/>
          <w:sz w:val="24"/>
          <w:szCs w:val="24"/>
          <w:lang w:val="en-US" w:eastAsia="zh-CN"/>
          <w14:textFill>
            <w14:solidFill>
              <w14:schemeClr w14:val="tx1"/>
            </w14:solidFill>
          </w14:textFill>
        </w:rPr>
        <w:t>，带</w:t>
      </w:r>
      <w:r>
        <w:rPr>
          <w:rFonts w:hint="eastAsia"/>
          <w:color w:val="000000" w:themeColor="text1"/>
          <w:sz w:val="24"/>
          <w:szCs w:val="24"/>
          <w14:textFill>
            <w14:solidFill>
              <w14:schemeClr w14:val="tx1"/>
            </w14:solidFill>
          </w14:textFill>
        </w:rPr>
        <w:t>回实验室风干、研磨、过1</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mm筛</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混匀备用。</w:t>
      </w:r>
    </w:p>
    <w:p w14:paraId="2CB7B08A">
      <w:pPr>
        <w:pStyle w:val="19"/>
        <w:keepNext w:val="0"/>
        <w:keepLines w:val="0"/>
        <w:pageBreakBefore w:val="0"/>
        <w:numPr>
          <w:ilvl w:val="3"/>
          <w:numId w:val="0"/>
        </w:numPr>
        <w:wordWrap/>
        <w:overflowPunct/>
        <w:topLinePunct w:val="0"/>
        <w:bidi w:val="0"/>
        <w:adjustRightInd/>
        <w:spacing w:before="156" w:after="156" w:line="360" w:lineRule="auto"/>
        <w:ind w:leftChars="0"/>
        <w:rPr>
          <w:color w:val="000000" w:themeColor="text1"/>
          <w:sz w:val="24"/>
          <w:szCs w:val="24"/>
          <w14:textFill>
            <w14:solidFill>
              <w14:schemeClr w14:val="tx1"/>
            </w14:solidFill>
          </w14:textFill>
        </w:rPr>
      </w:pPr>
      <w:bookmarkStart w:id="12" w:name="_Toc231994776"/>
      <w:r>
        <w:rPr>
          <w:rFonts w:hint="eastAsia"/>
          <w:color w:val="000000" w:themeColor="text1"/>
          <w:sz w:val="24"/>
          <w:szCs w:val="24"/>
          <w:lang w:val="en-US" w:eastAsia="zh-CN"/>
          <w14:textFill>
            <w14:solidFill>
              <w14:schemeClr w14:val="tx1"/>
            </w14:solidFill>
          </w14:textFill>
        </w:rPr>
        <w:t>5.2.3</w:t>
      </w:r>
      <w:r>
        <w:rPr>
          <w:rFonts w:hint="eastAsia"/>
          <w:color w:val="000000" w:themeColor="text1"/>
          <w:sz w:val="24"/>
          <w:szCs w:val="24"/>
          <w14:textFill>
            <w14:solidFill>
              <w14:schemeClr w14:val="tx1"/>
            </w14:solidFill>
          </w14:textFill>
        </w:rPr>
        <w:t>仪器设备</w:t>
      </w:r>
      <w:bookmarkEnd w:id="12"/>
    </w:p>
    <w:p w14:paraId="1DFC7B7F">
      <w:pPr>
        <w:pStyle w:val="20"/>
        <w:keepNext w:val="0"/>
        <w:keepLines w:val="0"/>
        <w:pageBreakBefore w:val="0"/>
        <w:numPr>
          <w:ilvl w:val="4"/>
          <w:numId w:val="0"/>
        </w:numPr>
        <w:wordWrap/>
        <w:overflowPunct/>
        <w:topLinePunct w:val="0"/>
        <w:bidi w:val="0"/>
        <w:adjustRightInd/>
        <w:spacing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5.2.3.1 </w:t>
      </w:r>
      <w:r>
        <w:rPr>
          <w:rFonts w:hint="eastAsia"/>
          <w:color w:val="000000" w:themeColor="text1"/>
          <w:sz w:val="24"/>
          <w:szCs w:val="24"/>
          <w14:textFill>
            <w14:solidFill>
              <w14:schemeClr w14:val="tx1"/>
            </w14:solidFill>
          </w14:textFill>
        </w:rPr>
        <w:t>通常实验室用仪器。</w:t>
      </w:r>
    </w:p>
    <w:p w14:paraId="7A1A770C">
      <w:pPr>
        <w:pStyle w:val="20"/>
        <w:keepNext w:val="0"/>
        <w:keepLines w:val="0"/>
        <w:pageBreakBefore w:val="0"/>
        <w:numPr>
          <w:ilvl w:val="4"/>
          <w:numId w:val="0"/>
        </w:numPr>
        <w:wordWrap/>
        <w:overflowPunct/>
        <w:topLinePunct w:val="0"/>
        <w:bidi w:val="0"/>
        <w:adjustRightInd/>
        <w:spacing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5.2.3.2 </w:t>
      </w:r>
      <w:r>
        <w:rPr>
          <w:rFonts w:hint="eastAsia"/>
          <w:color w:val="000000" w:themeColor="text1"/>
          <w:sz w:val="24"/>
          <w:szCs w:val="24"/>
          <w14:textFill>
            <w14:solidFill>
              <w14:schemeClr w14:val="tx1"/>
            </w14:solidFill>
          </w14:textFill>
        </w:rPr>
        <w:t>分光光度计。</w:t>
      </w:r>
    </w:p>
    <w:p w14:paraId="6456053D">
      <w:pPr>
        <w:pStyle w:val="20"/>
        <w:keepNext w:val="0"/>
        <w:keepLines w:val="0"/>
        <w:pageBreakBefore w:val="0"/>
        <w:numPr>
          <w:ilvl w:val="4"/>
          <w:numId w:val="0"/>
        </w:numPr>
        <w:wordWrap/>
        <w:overflowPunct/>
        <w:topLinePunct w:val="0"/>
        <w:bidi w:val="0"/>
        <w:adjustRightInd/>
        <w:spacing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5.2.3.3 </w:t>
      </w:r>
      <w:r>
        <w:rPr>
          <w:rFonts w:hint="eastAsia"/>
          <w:color w:val="000000" w:themeColor="text1"/>
          <w:sz w:val="24"/>
          <w:szCs w:val="24"/>
          <w14:textFill>
            <w14:solidFill>
              <w14:schemeClr w14:val="tx1"/>
            </w14:solidFill>
          </w14:textFill>
        </w:rPr>
        <w:t>恒温培养振荡器：空气式或水浴式均可，转速≥180</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r/min。</w:t>
      </w:r>
    </w:p>
    <w:p w14:paraId="5313D4FE">
      <w:pPr>
        <w:pStyle w:val="20"/>
        <w:keepNext w:val="0"/>
        <w:keepLines w:val="0"/>
        <w:pageBreakBefore w:val="0"/>
        <w:numPr>
          <w:ilvl w:val="4"/>
          <w:numId w:val="0"/>
        </w:numPr>
        <w:wordWrap/>
        <w:overflowPunct/>
        <w:topLinePunct w:val="0"/>
        <w:bidi w:val="0"/>
        <w:adjustRightInd/>
        <w:spacing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5.2.2.4 </w:t>
      </w:r>
      <w:r>
        <w:rPr>
          <w:rFonts w:hint="eastAsia"/>
          <w:color w:val="000000" w:themeColor="text1"/>
          <w:sz w:val="24"/>
          <w:szCs w:val="24"/>
          <w14:textFill>
            <w14:solidFill>
              <w14:schemeClr w14:val="tx1"/>
            </w14:solidFill>
          </w14:textFill>
        </w:rPr>
        <w:t>分析天平，感量0.0001 g。</w:t>
      </w:r>
    </w:p>
    <w:p w14:paraId="3ADEFA54">
      <w:pPr>
        <w:pStyle w:val="20"/>
        <w:keepNext w:val="0"/>
        <w:keepLines w:val="0"/>
        <w:pageBreakBefore w:val="0"/>
        <w:numPr>
          <w:ilvl w:val="4"/>
          <w:numId w:val="0"/>
        </w:numPr>
        <w:wordWrap/>
        <w:overflowPunct/>
        <w:topLinePunct w:val="0"/>
        <w:bidi w:val="0"/>
        <w:adjustRightInd/>
        <w:spacing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5.2.2.5 </w:t>
      </w:r>
      <w:r>
        <w:rPr>
          <w:rFonts w:hint="eastAsia"/>
          <w:color w:val="000000" w:themeColor="text1"/>
          <w:sz w:val="24"/>
          <w:szCs w:val="24"/>
          <w14:textFill>
            <w14:solidFill>
              <w14:schemeClr w14:val="tx1"/>
            </w14:solidFill>
          </w14:textFill>
        </w:rPr>
        <w:t>冰箱。</w:t>
      </w:r>
    </w:p>
    <w:p w14:paraId="3C573241">
      <w:pPr>
        <w:pStyle w:val="19"/>
        <w:keepNext w:val="0"/>
        <w:keepLines w:val="0"/>
        <w:pageBreakBefore w:val="0"/>
        <w:numPr>
          <w:ilvl w:val="3"/>
          <w:numId w:val="0"/>
        </w:numPr>
        <w:wordWrap/>
        <w:overflowPunct/>
        <w:topLinePunct w:val="0"/>
        <w:bidi w:val="0"/>
        <w:adjustRightInd/>
        <w:spacing w:before="156" w:after="156" w:line="360" w:lineRule="auto"/>
        <w:ind w:leftChars="0"/>
        <w:rPr>
          <w:color w:val="000000" w:themeColor="text1"/>
          <w:sz w:val="24"/>
          <w:szCs w:val="24"/>
          <w14:textFill>
            <w14:solidFill>
              <w14:schemeClr w14:val="tx1"/>
            </w14:solidFill>
          </w14:textFill>
        </w:rPr>
      </w:pPr>
      <w:bookmarkStart w:id="13" w:name="_Toc231994778"/>
      <w:r>
        <w:rPr>
          <w:rFonts w:hint="eastAsia"/>
          <w:color w:val="000000" w:themeColor="text1"/>
          <w:sz w:val="24"/>
          <w:szCs w:val="24"/>
          <w:lang w:val="en-US" w:eastAsia="zh-CN"/>
          <w14:textFill>
            <w14:solidFill>
              <w14:schemeClr w14:val="tx1"/>
            </w14:solidFill>
          </w14:textFill>
        </w:rPr>
        <w:t>5.2.4</w:t>
      </w:r>
      <w:r>
        <w:rPr>
          <w:rFonts w:hint="eastAsia"/>
          <w:color w:val="000000" w:themeColor="text1"/>
          <w:sz w:val="24"/>
          <w:szCs w:val="24"/>
          <w14:textFill>
            <w14:solidFill>
              <w14:schemeClr w14:val="tx1"/>
            </w14:solidFill>
          </w14:textFill>
        </w:rPr>
        <w:t>试验步骤</w:t>
      </w:r>
      <w:bookmarkEnd w:id="13"/>
    </w:p>
    <w:p w14:paraId="782FC33F">
      <w:pPr>
        <w:pStyle w:val="21"/>
        <w:keepNext w:val="0"/>
        <w:keepLines w:val="0"/>
        <w:pageBreakBefore w:val="0"/>
        <w:numPr>
          <w:ilvl w:val="4"/>
          <w:numId w:val="0"/>
        </w:numPr>
        <w:wordWrap/>
        <w:overflowPunct/>
        <w:topLinePunct w:val="0"/>
        <w:bidi w:val="0"/>
        <w:adjustRightInd/>
        <w:spacing w:before="156" w:after="156"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5.2.4.1</w:t>
      </w:r>
      <w:r>
        <w:rPr>
          <w:rFonts w:hint="eastAsia"/>
          <w:color w:val="000000" w:themeColor="text1"/>
          <w:sz w:val="24"/>
          <w:szCs w:val="24"/>
          <w14:textFill>
            <w14:solidFill>
              <w14:schemeClr w14:val="tx1"/>
            </w14:solidFill>
          </w14:textFill>
        </w:rPr>
        <w:t>试料中尿素含量的测定</w:t>
      </w:r>
    </w:p>
    <w:p w14:paraId="5B624DB5">
      <w:pPr>
        <w:pStyle w:val="6"/>
        <w:keepNext w:val="0"/>
        <w:keepLines w:val="0"/>
        <w:pageBreakBefore w:val="0"/>
        <w:wordWrap/>
        <w:overflowPunct/>
        <w:topLinePunct w:val="0"/>
        <w:bidi w:val="0"/>
        <w:adjustRightInd/>
        <w:spacing w:line="360" w:lineRule="auto"/>
        <w:ind w:firstLine="42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按附录</w:t>
      </w:r>
      <w:r>
        <w:rPr>
          <w:rFonts w:hint="eastAsia"/>
          <w:color w:val="000000" w:themeColor="text1"/>
          <w:sz w:val="24"/>
          <w:szCs w:val="24"/>
          <w:lang w:val="en-US" w:eastAsia="zh-CN"/>
          <w14:textFill>
            <w14:solidFill>
              <w14:schemeClr w14:val="tx1"/>
            </w14:solidFill>
          </w14:textFill>
        </w:rPr>
        <w:t>B</w:t>
      </w:r>
      <w:r>
        <w:rPr>
          <w:rFonts w:hint="eastAsia"/>
          <w:color w:val="000000" w:themeColor="text1"/>
          <w:sz w:val="24"/>
          <w:szCs w:val="24"/>
          <w14:textFill>
            <w14:solidFill>
              <w14:schemeClr w14:val="tx1"/>
            </w14:solidFill>
          </w14:textFill>
        </w:rPr>
        <w:t>进行测定。</w:t>
      </w:r>
    </w:p>
    <w:p w14:paraId="654C027A">
      <w:pPr>
        <w:pStyle w:val="21"/>
        <w:keepNext w:val="0"/>
        <w:keepLines w:val="0"/>
        <w:pageBreakBefore w:val="0"/>
        <w:numPr>
          <w:ilvl w:val="4"/>
          <w:numId w:val="0"/>
        </w:numPr>
        <w:wordWrap/>
        <w:overflowPunct/>
        <w:topLinePunct w:val="0"/>
        <w:bidi w:val="0"/>
        <w:adjustRightInd/>
        <w:spacing w:before="156" w:after="156"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5.2.4.2</w:t>
      </w:r>
      <w:r>
        <w:rPr>
          <w:rFonts w:hint="eastAsia"/>
          <w:color w:val="000000" w:themeColor="text1"/>
          <w:sz w:val="24"/>
          <w:szCs w:val="24"/>
          <w14:textFill>
            <w14:solidFill>
              <w14:schemeClr w14:val="tx1"/>
            </w14:solidFill>
          </w14:textFill>
        </w:rPr>
        <w:t>尿素残留量的测定</w:t>
      </w:r>
    </w:p>
    <w:p w14:paraId="3007E77A">
      <w:pPr>
        <w:pStyle w:val="22"/>
        <w:keepNext w:val="0"/>
        <w:keepLines w:val="0"/>
        <w:pageBreakBefore w:val="0"/>
        <w:numPr>
          <w:ilvl w:val="5"/>
          <w:numId w:val="0"/>
        </w:numPr>
        <w:wordWrap/>
        <w:overflowPunct/>
        <w:topLinePunct w:val="0"/>
        <w:bidi w:val="0"/>
        <w:adjustRightInd/>
        <w:spacing w:before="156" w:after="156"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5.2.4.2.1</w:t>
      </w:r>
      <w:r>
        <w:rPr>
          <w:rFonts w:hint="eastAsia"/>
          <w:color w:val="000000" w:themeColor="text1"/>
          <w:sz w:val="24"/>
          <w:szCs w:val="24"/>
          <w14:textFill>
            <w14:solidFill>
              <w14:schemeClr w14:val="tx1"/>
            </w14:solidFill>
          </w14:textFill>
        </w:rPr>
        <w:t>尿素标准曲线绘制</w:t>
      </w:r>
    </w:p>
    <w:p w14:paraId="3A47EF0A">
      <w:pPr>
        <w:pStyle w:val="6"/>
        <w:keepNext w:val="0"/>
        <w:keepLines w:val="0"/>
        <w:pageBreakBefore w:val="0"/>
        <w:wordWrap/>
        <w:overflowPunct/>
        <w:topLinePunct w:val="0"/>
        <w:bidi w:val="0"/>
        <w:adjustRightInd/>
        <w:spacing w:line="360" w:lineRule="auto"/>
        <w:ind w:firstLine="42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分别吸取0.5</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g/L的尿素标准溶液0.0 mL、2.0 mL、4.0 mL、6.0 mL、8.0 mL和10.0 mL，分别移至25 mL容量瓶中，加</w:t>
      </w:r>
      <w:r>
        <w:rPr>
          <w:rFonts w:hint="eastAsia"/>
          <w:color w:val="000000" w:themeColor="text1"/>
          <w:sz w:val="24"/>
          <w:szCs w:val="24"/>
          <w:lang w:eastAsia="zh-CN"/>
          <w14:textFill>
            <w14:solidFill>
              <w14:schemeClr w14:val="tx1"/>
            </w14:solidFill>
          </w14:textFill>
        </w:rPr>
        <w:t>入</w:t>
      </w:r>
      <w:r>
        <w:rPr>
          <w:rFonts w:hint="eastAsia"/>
          <w:color w:val="000000" w:themeColor="text1"/>
          <w:sz w:val="24"/>
          <w:szCs w:val="24"/>
          <w14:textFill>
            <w14:solidFill>
              <w14:schemeClr w14:val="tx1"/>
            </w14:solidFill>
          </w14:textFill>
        </w:rPr>
        <w:t>10</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mL对二甲氨基苯甲醛显色剂，用蒸馏水定容</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混匀</w:t>
      </w:r>
      <w:r>
        <w:rPr>
          <w:rFonts w:hint="eastAsia"/>
          <w:color w:val="000000" w:themeColor="text1"/>
          <w:sz w:val="24"/>
          <w:szCs w:val="24"/>
          <w14:textFill>
            <w14:solidFill>
              <w14:schemeClr w14:val="tx1"/>
            </w14:solidFill>
          </w14:textFill>
        </w:rPr>
        <w:t>。此尿素系列标准溶液</w:t>
      </w:r>
      <w:r>
        <w:rPr>
          <w:rFonts w:hint="eastAsia"/>
          <w:color w:val="000000" w:themeColor="text1"/>
          <w:sz w:val="24"/>
          <w:szCs w:val="24"/>
          <w:lang w:eastAsia="zh-CN"/>
          <w14:textFill>
            <w14:solidFill>
              <w14:schemeClr w14:val="tx1"/>
            </w14:solidFill>
          </w14:textFill>
        </w:rPr>
        <w:t>中的</w:t>
      </w:r>
      <w:r>
        <w:rPr>
          <w:rFonts w:hint="eastAsia"/>
          <w:color w:val="000000" w:themeColor="text1"/>
          <w:sz w:val="24"/>
          <w:szCs w:val="24"/>
          <w14:textFill>
            <w14:solidFill>
              <w14:schemeClr w14:val="tx1"/>
            </w14:solidFill>
          </w14:textFill>
        </w:rPr>
        <w:t>尿素浓度分别为0.00 g/L、0.04 g/L、0.08 g/L、0.12 g/L、0.16 g/L、0.20 g/L。放置20 min，待气泡完全消失后，用1 cm比色皿，在420 nm波长处比色，</w:t>
      </w:r>
      <w:r>
        <w:rPr>
          <w:rFonts w:hint="eastAsia" w:ascii="宋体" w:hAnsi="宋体" w:eastAsia="宋体" w:cs="宋体"/>
          <w:b w:val="0"/>
          <w:bCs w:val="0"/>
          <w:color w:val="000000" w:themeColor="text1"/>
          <w:sz w:val="24"/>
          <w:szCs w:val="24"/>
          <w14:textFill>
            <w14:solidFill>
              <w14:schemeClr w14:val="tx1"/>
            </w14:solidFill>
          </w14:textFill>
        </w:rPr>
        <w:t>以尿素浓度为0.00 g/L的溶液为参比调零，依次测定标准系列溶液的吸光度</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以尿素质量为纵坐标，吸光度为横坐标，绘制标准曲线并得出线性回归方程。每次测样均需制作标准曲线。</w:t>
      </w:r>
    </w:p>
    <w:p w14:paraId="74AA238D">
      <w:pPr>
        <w:pStyle w:val="22"/>
        <w:keepNext w:val="0"/>
        <w:keepLines w:val="0"/>
        <w:pageBreakBefore w:val="0"/>
        <w:numPr>
          <w:ilvl w:val="5"/>
          <w:numId w:val="0"/>
        </w:numPr>
        <w:wordWrap/>
        <w:overflowPunct/>
        <w:topLinePunct w:val="0"/>
        <w:bidi w:val="0"/>
        <w:adjustRightInd/>
        <w:spacing w:before="156" w:after="156"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5.2.4.2.2</w:t>
      </w:r>
      <w:r>
        <w:rPr>
          <w:rFonts w:hint="eastAsia"/>
          <w:color w:val="000000" w:themeColor="text1"/>
          <w:sz w:val="24"/>
          <w:szCs w:val="24"/>
          <w14:textFill>
            <w14:solidFill>
              <w14:schemeClr w14:val="tx1"/>
            </w14:solidFill>
          </w14:textFill>
        </w:rPr>
        <w:t>稳定性稳定性复混肥料（复合肥料）</w:t>
      </w:r>
      <w:r>
        <w:rPr>
          <w:rFonts w:hint="eastAsia"/>
          <w:color w:val="000000" w:themeColor="text1"/>
          <w:sz w:val="24"/>
          <w:szCs w:val="24"/>
          <w:lang w:val="en-US" w:eastAsia="zh-CN"/>
          <w14:textFill>
            <w14:solidFill>
              <w14:schemeClr w14:val="tx1"/>
            </w14:solidFill>
          </w14:textFill>
        </w:rPr>
        <w:t>中</w:t>
      </w:r>
      <w:r>
        <w:rPr>
          <w:rFonts w:hint="eastAsia"/>
          <w:color w:val="000000" w:themeColor="text1"/>
          <w:sz w:val="24"/>
          <w:szCs w:val="24"/>
          <w14:textFill>
            <w14:solidFill>
              <w14:schemeClr w14:val="tx1"/>
            </w14:solidFill>
          </w14:textFill>
        </w:rPr>
        <w:t>尿素残留量的测定</w:t>
      </w:r>
    </w:p>
    <w:p w14:paraId="3E22DF05">
      <w:pPr>
        <w:pStyle w:val="6"/>
        <w:keepNext w:val="0"/>
        <w:keepLines w:val="0"/>
        <w:pageBreakBefore w:val="0"/>
        <w:wordWrap/>
        <w:overflowPunct/>
        <w:topLinePunct w:val="0"/>
        <w:bidi w:val="0"/>
        <w:adjustRightInd/>
        <w:spacing w:line="360" w:lineRule="auto"/>
        <w:ind w:firstLine="42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准确称取1.500g试样（若其中尿素含量不足0.5 g，用尿素补足至0.5 g），置于250 mL具塞三角瓶中，另称取对照样品（参见附录A中A.</w:t>
      </w:r>
      <w:r>
        <w:rPr>
          <w:rFonts w:hint="eastAsia"/>
          <w:color w:val="000000" w:themeColor="text1"/>
          <w:sz w:val="24"/>
          <w:szCs w:val="24"/>
          <w:lang w:val="en-US" w:eastAsia="zh-CN"/>
          <w14:textFill>
            <w14:solidFill>
              <w14:schemeClr w14:val="tx1"/>
            </w14:solidFill>
          </w14:textFill>
        </w:rPr>
        <w:t>1</w:t>
      </w:r>
      <w:r>
        <w:rPr>
          <w:rFonts w:hint="eastAsia"/>
          <w:color w:val="000000" w:themeColor="text1"/>
          <w:sz w:val="24"/>
          <w:szCs w:val="24"/>
          <w14:textFill>
            <w14:solidFill>
              <w14:schemeClr w14:val="tx1"/>
            </w14:solidFill>
          </w14:textFill>
        </w:rPr>
        <w:t>和A.</w:t>
      </w:r>
      <w:r>
        <w:rPr>
          <w:rFonts w:hint="eastAsia"/>
          <w:color w:val="000000" w:themeColor="text1"/>
          <w:sz w:val="24"/>
          <w:szCs w:val="24"/>
          <w:lang w:val="en-US" w:eastAsia="zh-CN"/>
          <w14:textFill>
            <w14:solidFill>
              <w14:schemeClr w14:val="tx1"/>
            </w14:solidFill>
          </w14:textFill>
        </w:rPr>
        <w:t>2，</w:t>
      </w:r>
      <w:r>
        <w:rPr>
          <w:rFonts w:hint="eastAsia"/>
          <w:color w:val="000000" w:themeColor="text1"/>
          <w:sz w:val="24"/>
          <w:szCs w:val="24"/>
          <w14:textFill>
            <w14:solidFill>
              <w14:schemeClr w14:val="tx1"/>
            </w14:solidFill>
          </w14:textFill>
        </w:rPr>
        <w:t>若尿素含量计算值不足0.5 g，</w:t>
      </w:r>
      <w:r>
        <w:rPr>
          <w:rFonts w:hint="eastAsia" w:ascii="宋体" w:hAnsi="宋体" w:eastAsia="宋体" w:cs="宋体"/>
          <w:b w:val="0"/>
          <w:bCs w:val="0"/>
          <w:color w:val="000000" w:themeColor="text1"/>
          <w:sz w:val="24"/>
          <w:szCs w:val="24"/>
          <w14:textFill>
            <w14:solidFill>
              <w14:schemeClr w14:val="tx1"/>
            </w14:solidFill>
          </w14:textFill>
        </w:rPr>
        <w:t>用尿素补足</w:t>
      </w:r>
      <w:r>
        <w:rPr>
          <w:rFonts w:hint="eastAsia"/>
          <w:color w:val="000000" w:themeColor="text1"/>
          <w:sz w:val="24"/>
          <w:szCs w:val="24"/>
          <w14:textFill>
            <w14:solidFill>
              <w14:schemeClr w14:val="tx1"/>
            </w14:solidFill>
          </w14:textFill>
        </w:rPr>
        <w:t>至0.5 g），在试样和对照样品的瓶中分别加入5.00 g风干土和0.15 g/L的脲酶溶液100</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mL，在37 ℃恒温培养振荡器（180 r/min）中振荡5 h后取出过滤，每个样品做三组平行。</w:t>
      </w:r>
    </w:p>
    <w:p w14:paraId="5AD293F6">
      <w:pPr>
        <w:pStyle w:val="6"/>
        <w:keepNext w:val="0"/>
        <w:keepLines w:val="0"/>
        <w:pageBreakBefore w:val="0"/>
        <w:wordWrap/>
        <w:overflowPunct/>
        <w:topLinePunct w:val="0"/>
        <w:bidi w:val="0"/>
        <w:adjustRightInd/>
        <w:spacing w:line="360" w:lineRule="auto"/>
        <w:ind w:firstLine="42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吸取2.0 mL滤液，稀释至50 mL。吸取10.0 mL稀释后的滤液至25 mL容量瓶内，加入10 mL对二甲氨基苯甲醛显色剂，用蒸馏水定容</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混匀</w:t>
      </w:r>
      <w:r>
        <w:rPr>
          <w:rFonts w:hint="eastAsia"/>
          <w:color w:val="000000" w:themeColor="text1"/>
          <w:sz w:val="24"/>
          <w:szCs w:val="24"/>
          <w14:textFill>
            <w14:solidFill>
              <w14:schemeClr w14:val="tx1"/>
            </w14:solidFill>
          </w14:textFill>
        </w:rPr>
        <w:t>。放置20</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min，待气泡完全消失后，用1cm比色皿，以试剂空白做参比，在420 nm波长处测定吸光度值，根据尿素标准曲线（5.2.</w:t>
      </w:r>
      <w:r>
        <w:rPr>
          <w:rFonts w:hint="eastAsia"/>
          <w:color w:val="000000" w:themeColor="text1"/>
          <w:sz w:val="24"/>
          <w:szCs w:val="24"/>
          <w:lang w:val="en-US" w:eastAsia="zh-CN"/>
          <w14:textFill>
            <w14:solidFill>
              <w14:schemeClr w14:val="tx1"/>
            </w14:solidFill>
          </w14:textFill>
        </w:rPr>
        <w:t>4</w:t>
      </w:r>
      <w:r>
        <w:rPr>
          <w:rFonts w:hint="eastAsia"/>
          <w:color w:val="000000" w:themeColor="text1"/>
          <w:sz w:val="24"/>
          <w:szCs w:val="24"/>
          <w14:textFill>
            <w14:solidFill>
              <w14:schemeClr w14:val="tx1"/>
            </w14:solidFill>
          </w14:textFill>
        </w:rPr>
        <w:t>.2.1）的线性回归方程计算出尿素浓度，根据式（1）分别计算出试样的尿素残留质量和对照样品的尿素残留质量。</w:t>
      </w:r>
    </w:p>
    <w:p w14:paraId="5B8339B4">
      <w:pPr>
        <w:pStyle w:val="6"/>
        <w:keepNext w:val="0"/>
        <w:keepLines w:val="0"/>
        <w:pageBreakBefore w:val="0"/>
        <w:wordWrap/>
        <w:overflowPunct/>
        <w:topLinePunct w:val="0"/>
        <w:bidi w:val="0"/>
        <w:adjustRightInd/>
        <w:spacing w:line="360" w:lineRule="auto"/>
        <w:ind w:firstLine="42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尿素质量m，数值用毫克（mg）表示，按式（1）：</w:t>
      </w:r>
    </w:p>
    <w:p w14:paraId="54499976">
      <w:pPr>
        <w:pStyle w:val="11"/>
        <w:keepNext w:val="0"/>
        <w:keepLines w:val="0"/>
        <w:pageBreakBefore w:val="0"/>
        <w:wordWrap/>
        <w:overflowPunct/>
        <w:topLinePunct w:val="0"/>
        <w:bidi w:val="0"/>
        <w:adjustRightInd/>
        <w:spacing w:line="360" w:lineRule="auto"/>
        <w:ind w:right="210" w:firstLine="0" w:firstLineChars="0"/>
        <w:jc w:val="right"/>
        <w:rPr>
          <w:rFonts w:ascii="Times New Roman"/>
          <w:color w:val="000000" w:themeColor="text1"/>
          <w:sz w:val="24"/>
          <w:szCs w:val="24"/>
          <w14:textFill>
            <w14:solidFill>
              <w14:schemeClr w14:val="tx1"/>
            </w14:solidFill>
          </w14:textFill>
        </w:rPr>
      </w:pPr>
      <w:r>
        <w:rPr>
          <w:rFonts w:ascii="Times New Roman"/>
          <w:color w:val="000000" w:themeColor="text1"/>
          <w:position w:val="-24"/>
          <w:sz w:val="24"/>
          <w:szCs w:val="24"/>
          <w14:textFill>
            <w14:solidFill>
              <w14:schemeClr w14:val="tx1"/>
            </w14:solidFill>
          </w14:textFill>
        </w:rPr>
        <w:object>
          <v:shape id="_x0000_i1025" o:spt="75" type="#_x0000_t75" style="height:31pt;width:166pt;" o:ole="t" filled="f" o:preferrelative="t" stroked="f" coordsize="21600,21600">
            <v:path/>
            <v:fill on="f" focussize="0,0"/>
            <v:stroke on="f"/>
            <v:imagedata r:id="rId5" o:title=""/>
            <o:lock v:ext="edit" aspectratio="t"/>
            <w10:wrap type="none"/>
            <w10:anchorlock/>
          </v:shape>
          <o:OLEObject Type="Embed" ProgID="Equation.3" ShapeID="_x0000_i1025" DrawAspect="Content" ObjectID="_1468075725" r:id="rId4">
            <o:LockedField>false</o:LockedField>
          </o:OLEObject>
        </w:object>
      </w:r>
      <w:r>
        <w:rPr>
          <w:rFonts w:hint="eastAsia" w:ascii="Times New Roman"/>
          <w:color w:val="000000" w:themeColor="text1"/>
          <w:sz w:val="24"/>
          <w:szCs w:val="24"/>
          <w:lang w:val="pt-BR"/>
          <w14:textFill>
            <w14:solidFill>
              <w14:schemeClr w14:val="tx1"/>
            </w14:solidFill>
          </w14:textFill>
        </w:rPr>
        <w:t>……………………………………</w:t>
      </w:r>
      <w:r>
        <w:rPr>
          <w:rFonts w:ascii="Times New Roman"/>
          <w:color w:val="000000" w:themeColor="text1"/>
          <w:sz w:val="24"/>
          <w:szCs w:val="24"/>
          <w14:textFill>
            <w14:solidFill>
              <w14:schemeClr w14:val="tx1"/>
            </w14:solidFill>
          </w14:textFill>
        </w:rPr>
        <w:t>（1）</w:t>
      </w:r>
    </w:p>
    <w:p w14:paraId="2691335D">
      <w:pPr>
        <w:pStyle w:val="11"/>
        <w:keepNext w:val="0"/>
        <w:keepLines w:val="0"/>
        <w:pageBreakBefore w:val="0"/>
        <w:wordWrap/>
        <w:overflowPunct/>
        <w:topLinePunct w:val="0"/>
        <w:bidi w:val="0"/>
        <w:adjustRightInd/>
        <w:spacing w:line="360" w:lineRule="auto"/>
        <w:ind w:firstLine="0" w:firstLineChars="0"/>
        <w:jc w:val="left"/>
        <w:rPr>
          <w:rFonts w:ascii="Times New Roman"/>
          <w:color w:val="000000" w:themeColor="text1"/>
          <w:sz w:val="21"/>
          <w:szCs w:val="21"/>
          <w14:textFill>
            <w14:solidFill>
              <w14:schemeClr w14:val="tx1"/>
            </w14:solidFill>
          </w14:textFill>
        </w:rPr>
      </w:pPr>
      <w:r>
        <w:rPr>
          <w:rFonts w:hint="eastAsia" w:ascii="Times New Roman"/>
          <w:color w:val="000000" w:themeColor="text1"/>
          <w:sz w:val="21"/>
          <w:szCs w:val="21"/>
          <w14:textFill>
            <w14:solidFill>
              <w14:schemeClr w14:val="tx1"/>
            </w14:solidFill>
          </w14:textFill>
        </w:rPr>
        <w:t>式中：</w:t>
      </w:r>
    </w:p>
    <w:p w14:paraId="2B6C350D">
      <w:pPr>
        <w:pStyle w:val="11"/>
        <w:keepNext w:val="0"/>
        <w:keepLines w:val="0"/>
        <w:pageBreakBefore w:val="0"/>
        <w:wordWrap/>
        <w:overflowPunct/>
        <w:topLinePunct w:val="0"/>
        <w:bidi w:val="0"/>
        <w:adjustRightInd/>
        <w:spacing w:line="360" w:lineRule="auto"/>
        <w:jc w:val="left"/>
        <w:rPr>
          <w:rFonts w:ascii="Times New Roman"/>
          <w:color w:val="000000" w:themeColor="text1"/>
          <w:sz w:val="21"/>
          <w:szCs w:val="21"/>
          <w14:textFill>
            <w14:solidFill>
              <w14:schemeClr w14:val="tx1"/>
            </w14:solidFill>
          </w14:textFill>
        </w:rPr>
      </w:pPr>
      <w: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t>ρ</w:t>
      </w:r>
      <w:r>
        <w:rPr>
          <w:rFonts w:hint="eastAsia" w:ascii="Times New Roman" w:hAnsi="Times New Roman" w:eastAsia="宋体" w:cs="Times New Roman"/>
          <w:b w:val="0"/>
          <w:bCs w:val="0"/>
          <w:color w:val="000000" w:themeColor="text1"/>
          <w:sz w:val="21"/>
          <w:szCs w:val="21"/>
          <w:vertAlign w:val="subscript"/>
          <w:lang w:val="en-US" w:eastAsia="zh-CN"/>
          <w14:textFill>
            <w14:solidFill>
              <w14:schemeClr w14:val="tx1"/>
            </w14:solidFill>
          </w14:textFill>
        </w:rPr>
        <w:t>1</w:t>
      </w:r>
      <w:r>
        <w:rPr>
          <w:rFonts w:hint="eastAsia" w:ascii="Times New Roman"/>
          <w:color w:val="000000" w:themeColor="text1"/>
          <w:sz w:val="21"/>
          <w:szCs w:val="21"/>
          <w14:textFill>
            <w14:solidFill>
              <w14:schemeClr w14:val="tx1"/>
            </w14:solidFill>
          </w14:textFill>
        </w:rPr>
        <w:t>——根据标准曲线（5.2.5.2.1）的线性回归方程</w:t>
      </w:r>
      <w:r>
        <w:rPr>
          <w:rFonts w:ascii="Times New Roman"/>
          <w:color w:val="000000" w:themeColor="text1"/>
          <w:sz w:val="21"/>
          <w:szCs w:val="21"/>
          <w14:textFill>
            <w14:solidFill>
              <w14:schemeClr w14:val="tx1"/>
            </w14:solidFill>
          </w14:textFill>
        </w:rPr>
        <w:t>计算出尿素</w:t>
      </w:r>
      <w:r>
        <w:rPr>
          <w:rFonts w:hint="eastAsia" w:ascii="Times New Roman"/>
          <w:color w:val="000000" w:themeColor="text1"/>
          <w:sz w:val="21"/>
          <w:szCs w:val="21"/>
          <w14:textFill>
            <w14:solidFill>
              <w14:schemeClr w14:val="tx1"/>
            </w14:solidFill>
          </w14:textFill>
        </w:rPr>
        <w:t>浓度的数值，单位为克每升（g/L）；</w:t>
      </w:r>
    </w:p>
    <w:p w14:paraId="713C0B63">
      <w:pPr>
        <w:pStyle w:val="11"/>
        <w:keepNext w:val="0"/>
        <w:keepLines w:val="0"/>
        <w:pageBreakBefore w:val="0"/>
        <w:wordWrap/>
        <w:overflowPunct/>
        <w:topLinePunct w:val="0"/>
        <w:bidi w:val="0"/>
        <w:adjustRightInd/>
        <w:spacing w:line="360" w:lineRule="auto"/>
        <w:jc w:val="left"/>
        <w:rPr>
          <w:rFonts w:ascii="Times New Roman"/>
          <w:color w:val="000000" w:themeColor="text1"/>
          <w:sz w:val="21"/>
          <w:szCs w:val="21"/>
          <w14:textFill>
            <w14:solidFill>
              <w14:schemeClr w14:val="tx1"/>
            </w14:solidFill>
          </w14:textFill>
        </w:rPr>
      </w:pPr>
      <w:r>
        <w:rPr>
          <w:rFonts w:hint="eastAsia" w:ascii="Times New Roman"/>
          <w:color w:val="000000" w:themeColor="text1"/>
          <w:sz w:val="21"/>
          <w:szCs w:val="21"/>
          <w14:textFill>
            <w14:solidFill>
              <w14:schemeClr w14:val="tx1"/>
            </w14:solidFill>
          </w14:textFill>
        </w:rPr>
        <w:t>25——显色体积的数值，单位为毫升（mL）；</w:t>
      </w:r>
    </w:p>
    <w:p w14:paraId="278DC2BD">
      <w:pPr>
        <w:pStyle w:val="11"/>
        <w:keepNext w:val="0"/>
        <w:keepLines w:val="0"/>
        <w:pageBreakBefore w:val="0"/>
        <w:wordWrap/>
        <w:overflowPunct/>
        <w:topLinePunct w:val="0"/>
        <w:bidi w:val="0"/>
        <w:adjustRightInd/>
        <w:spacing w:line="360" w:lineRule="auto"/>
        <w:ind w:firstLine="315" w:firstLineChars="150"/>
        <w:jc w:val="left"/>
        <w:rPr>
          <w:rFonts w:ascii="Times New Roman"/>
          <w:color w:val="000000" w:themeColor="text1"/>
          <w:sz w:val="21"/>
          <w:szCs w:val="21"/>
          <w14:textFill>
            <w14:solidFill>
              <w14:schemeClr w14:val="tx1"/>
            </w14:solidFill>
          </w14:textFill>
        </w:rPr>
      </w:pPr>
      <w:r>
        <w:rPr>
          <w:color w:val="000000" w:themeColor="text1"/>
          <w:position w:val="-24"/>
          <w:sz w:val="21"/>
          <w:szCs w:val="21"/>
          <w14:textFill>
            <w14:solidFill>
              <w14:schemeClr w14:val="tx1"/>
            </w14:solidFill>
          </w14:textFill>
        </w:rPr>
        <w:object>
          <v:shape id="_x0000_i1026" o:spt="75" type="#_x0000_t75" style="height:22.5pt;width:12.5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6">
            <o:LockedField>false</o:LockedField>
          </o:OLEObject>
        </w:object>
      </w:r>
      <w:r>
        <w:rPr>
          <w:rFonts w:hint="eastAsia"/>
          <w:color w:val="000000" w:themeColor="text1"/>
          <w:sz w:val="21"/>
          <w:szCs w:val="21"/>
          <w14:textFill>
            <w14:solidFill>
              <w14:schemeClr w14:val="tx1"/>
            </w14:solidFill>
          </w14:textFill>
        </w:rPr>
        <w:t>——</w:t>
      </w:r>
      <w:r>
        <w:rPr>
          <w:rFonts w:hint="eastAsia" w:ascii="Times New Roman"/>
          <w:color w:val="000000" w:themeColor="text1"/>
          <w:sz w:val="21"/>
          <w:szCs w:val="21"/>
          <w14:textFill>
            <w14:solidFill>
              <w14:schemeClr w14:val="tx1"/>
            </w14:solidFill>
          </w14:textFill>
        </w:rPr>
        <w:t>稀释倍数；</w:t>
      </w:r>
    </w:p>
    <w:p w14:paraId="04748430">
      <w:pPr>
        <w:pStyle w:val="11"/>
        <w:keepNext w:val="0"/>
        <w:keepLines w:val="0"/>
        <w:pageBreakBefore w:val="0"/>
        <w:wordWrap/>
        <w:overflowPunct/>
        <w:topLinePunct w:val="0"/>
        <w:bidi w:val="0"/>
        <w:adjustRightInd/>
        <w:spacing w:line="360" w:lineRule="auto"/>
        <w:ind w:firstLine="315" w:firstLineChars="150"/>
        <w:jc w:val="left"/>
        <w:rPr>
          <w:color w:val="000000" w:themeColor="text1"/>
          <w:sz w:val="24"/>
          <w:szCs w:val="24"/>
          <w14:textFill>
            <w14:solidFill>
              <w14:schemeClr w14:val="tx1"/>
            </w14:solidFill>
          </w14:textFill>
        </w:rPr>
      </w:pPr>
      <w:r>
        <w:rPr>
          <w:color w:val="000000" w:themeColor="text1"/>
          <w:position w:val="-24"/>
          <w:sz w:val="21"/>
          <w:szCs w:val="21"/>
          <w14:textFill>
            <w14:solidFill>
              <w14:schemeClr w14:val="tx1"/>
            </w14:solidFill>
          </w14:textFill>
        </w:rPr>
        <w:object>
          <v:shape id="_x0000_i1027" o:spt="75" type="#_x0000_t75" style="height:24pt;width:17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8">
            <o:LockedField>false</o:LockedField>
          </o:OLEObject>
        </w:object>
      </w:r>
      <w:r>
        <w:rPr>
          <w:rFonts w:hint="eastAsia"/>
          <w:color w:val="000000" w:themeColor="text1"/>
          <w:sz w:val="21"/>
          <w:szCs w:val="21"/>
          <w14:textFill>
            <w14:solidFill>
              <w14:schemeClr w14:val="tx1"/>
            </w14:solidFill>
          </w14:textFill>
        </w:rPr>
        <w:t>——</w:t>
      </w:r>
      <w:r>
        <w:rPr>
          <w:rFonts w:hint="eastAsia" w:ascii="Times New Roman"/>
          <w:color w:val="000000" w:themeColor="text1"/>
          <w:sz w:val="21"/>
          <w:szCs w:val="21"/>
          <w14:textFill>
            <w14:solidFill>
              <w14:schemeClr w14:val="tx1"/>
            </w14:solidFill>
          </w14:textFill>
        </w:rPr>
        <w:t>分取倍数。</w:t>
      </w:r>
    </w:p>
    <w:p w14:paraId="04FFC968">
      <w:pPr>
        <w:pStyle w:val="22"/>
        <w:keepNext w:val="0"/>
        <w:keepLines w:val="0"/>
        <w:pageBreakBefore w:val="0"/>
        <w:numPr>
          <w:ilvl w:val="5"/>
          <w:numId w:val="0"/>
        </w:numPr>
        <w:wordWrap/>
        <w:overflowPunct/>
        <w:topLinePunct w:val="0"/>
        <w:bidi w:val="0"/>
        <w:adjustRightInd/>
        <w:spacing w:before="156" w:after="156"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5.2.4.2.3</w:t>
      </w:r>
      <w:r>
        <w:rPr>
          <w:rFonts w:hint="eastAsia"/>
          <w:color w:val="000000" w:themeColor="text1"/>
          <w:sz w:val="24"/>
          <w:szCs w:val="24"/>
          <w14:textFill>
            <w14:solidFill>
              <w14:schemeClr w14:val="tx1"/>
            </w14:solidFill>
          </w14:textFill>
        </w:rPr>
        <w:t>稳定性尿素</w:t>
      </w:r>
      <w:r>
        <w:rPr>
          <w:rFonts w:hint="eastAsia"/>
          <w:color w:val="000000" w:themeColor="text1"/>
          <w:sz w:val="24"/>
          <w:szCs w:val="24"/>
          <w:lang w:val="en-US" w:eastAsia="zh-CN"/>
          <w14:textFill>
            <w14:solidFill>
              <w14:schemeClr w14:val="tx1"/>
            </w14:solidFill>
          </w14:textFill>
        </w:rPr>
        <w:t>中尿素</w:t>
      </w:r>
      <w:r>
        <w:rPr>
          <w:rFonts w:hint="eastAsia"/>
          <w:color w:val="000000" w:themeColor="text1"/>
          <w:sz w:val="24"/>
          <w:szCs w:val="24"/>
          <w14:textFill>
            <w14:solidFill>
              <w14:schemeClr w14:val="tx1"/>
            </w14:solidFill>
          </w14:textFill>
        </w:rPr>
        <w:t>残留量的测定</w:t>
      </w:r>
    </w:p>
    <w:p w14:paraId="63DE5573">
      <w:pPr>
        <w:pStyle w:val="6"/>
        <w:keepNext w:val="0"/>
        <w:keepLines w:val="0"/>
        <w:pageBreakBefore w:val="0"/>
        <w:wordWrap/>
        <w:overflowPunct/>
        <w:topLinePunct w:val="0"/>
        <w:bidi w:val="0"/>
        <w:adjustRightInd/>
        <w:spacing w:line="360" w:lineRule="auto"/>
        <w:ind w:firstLine="42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准确称取0.500</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g试样，置于250 mL具塞三角瓶中，在瓶中分别加入5.00 g风干土和0.15 g/L的脲酶溶液100 mL，在37 ℃恒温振荡器（180</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 xml:space="preserve"> r/min）中振荡5 h后取出过滤，以0.500 g尿素（分析纯）作为对照样品，处理方式与试样相同。每个样品做三组平行。</w:t>
      </w:r>
    </w:p>
    <w:p w14:paraId="6380FF3B">
      <w:pPr>
        <w:pStyle w:val="6"/>
        <w:keepNext w:val="0"/>
        <w:keepLines w:val="0"/>
        <w:pageBreakBefore w:val="0"/>
        <w:wordWrap/>
        <w:overflowPunct/>
        <w:topLinePunct w:val="0"/>
        <w:bidi w:val="0"/>
        <w:adjustRightInd/>
        <w:spacing w:line="360" w:lineRule="auto"/>
        <w:ind w:firstLine="42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吸取2.0 mL滤液，稀释至50 mL</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混匀</w:t>
      </w:r>
      <w:r>
        <w:rPr>
          <w:rFonts w:hint="eastAsia"/>
          <w:color w:val="000000" w:themeColor="text1"/>
          <w:sz w:val="24"/>
          <w:szCs w:val="24"/>
          <w14:textFill>
            <w14:solidFill>
              <w14:schemeClr w14:val="tx1"/>
            </w14:solidFill>
          </w14:textFill>
        </w:rPr>
        <w:t>。吸取10.0 mL稀释后的滤液至25 mL容量瓶内，加入10 mL对二甲氨基苯甲醛显色剂，用蒸馏水定容</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混匀</w:t>
      </w:r>
      <w:r>
        <w:rPr>
          <w:rFonts w:hint="eastAsia"/>
          <w:color w:val="000000" w:themeColor="text1"/>
          <w:sz w:val="24"/>
          <w:szCs w:val="24"/>
          <w14:textFill>
            <w14:solidFill>
              <w14:schemeClr w14:val="tx1"/>
            </w14:solidFill>
          </w14:textFill>
        </w:rPr>
        <w:t>。放置20</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min，待气泡完全消失后，用1</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cm比色皿，以试剂空白做参比，在420 nm波长处测定吸光度值，根据尿素标准曲线（5.2.5.2.1）的线性回归方程计算出尿素浓度，根据式（1）分别计算出试样尿素残留质量和对照的尿素残留质量。</w:t>
      </w:r>
    </w:p>
    <w:p w14:paraId="66CC6E32">
      <w:pPr>
        <w:pStyle w:val="19"/>
        <w:keepNext w:val="0"/>
        <w:keepLines w:val="0"/>
        <w:pageBreakBefore w:val="0"/>
        <w:numPr>
          <w:ilvl w:val="3"/>
          <w:numId w:val="0"/>
        </w:numPr>
        <w:wordWrap/>
        <w:overflowPunct/>
        <w:topLinePunct w:val="0"/>
        <w:bidi w:val="0"/>
        <w:adjustRightInd/>
        <w:spacing w:before="156" w:after="156" w:line="360" w:lineRule="auto"/>
        <w:ind w:leftChars="0"/>
        <w:rPr>
          <w:color w:val="000000" w:themeColor="text1"/>
          <w:sz w:val="24"/>
          <w:szCs w:val="24"/>
          <w14:textFill>
            <w14:solidFill>
              <w14:schemeClr w14:val="tx1"/>
            </w14:solidFill>
          </w14:textFill>
        </w:rPr>
      </w:pPr>
      <w:bookmarkStart w:id="14" w:name="_Toc231994779"/>
      <w:r>
        <w:rPr>
          <w:rFonts w:hint="eastAsia"/>
          <w:color w:val="000000" w:themeColor="text1"/>
          <w:sz w:val="24"/>
          <w:szCs w:val="24"/>
          <w:lang w:val="en-US" w:eastAsia="zh-CN"/>
          <w14:textFill>
            <w14:solidFill>
              <w14:schemeClr w14:val="tx1"/>
            </w14:solidFill>
          </w14:textFill>
        </w:rPr>
        <w:t>5.2.5</w:t>
      </w:r>
      <w:r>
        <w:rPr>
          <w:rFonts w:hint="eastAsia"/>
          <w:color w:val="000000" w:themeColor="text1"/>
          <w:sz w:val="24"/>
          <w:szCs w:val="24"/>
          <w14:textFill>
            <w14:solidFill>
              <w14:schemeClr w14:val="tx1"/>
            </w14:solidFill>
          </w14:textFill>
        </w:rPr>
        <w:t>试验数据处理</w:t>
      </w:r>
      <w:bookmarkEnd w:id="14"/>
    </w:p>
    <w:p w14:paraId="4BAC665B">
      <w:pPr>
        <w:pStyle w:val="6"/>
        <w:keepNext w:val="0"/>
        <w:keepLines w:val="0"/>
        <w:pageBreakBefore w:val="0"/>
        <w:wordWrap/>
        <w:overflowPunct/>
        <w:topLinePunct w:val="0"/>
        <w:bidi w:val="0"/>
        <w:adjustRightInd/>
        <w:spacing w:line="360" w:lineRule="auto"/>
        <w:ind w:firstLine="42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尿素残留差异率</w:t>
      </w:r>
      <w:r>
        <w:rPr>
          <w:rFonts w:hint="eastAsia"/>
          <w:color w:val="000000" w:themeColor="text1"/>
          <w:sz w:val="24"/>
          <w:szCs w:val="24"/>
          <w14:textFill>
            <w14:solidFill>
              <w14:schemeClr w14:val="tx1"/>
            </w14:solidFill>
          </w14:textFill>
        </w:rPr>
        <w:t>dU，</w:t>
      </w:r>
      <w:r>
        <w:rPr>
          <w:color w:val="000000" w:themeColor="text1"/>
          <w:sz w:val="24"/>
          <w:szCs w:val="24"/>
          <w14:textFill>
            <w14:solidFill>
              <w14:schemeClr w14:val="tx1"/>
            </w14:solidFill>
          </w14:textFill>
        </w:rPr>
        <w:t>数值以%表示，按式（</w:t>
      </w:r>
      <w:r>
        <w:rPr>
          <w:rFonts w:hint="eastAsia"/>
          <w:color w:val="000000" w:themeColor="text1"/>
          <w:sz w:val="24"/>
          <w:szCs w:val="24"/>
          <w14:textFill>
            <w14:solidFill>
              <w14:schemeClr w14:val="tx1"/>
            </w14:solidFill>
          </w14:textFill>
        </w:rPr>
        <w:t>2</w:t>
      </w:r>
      <w:r>
        <w:rPr>
          <w:color w:val="000000" w:themeColor="text1"/>
          <w:sz w:val="24"/>
          <w:szCs w:val="24"/>
          <w14:textFill>
            <w14:solidFill>
              <w14:schemeClr w14:val="tx1"/>
            </w14:solidFill>
          </w14:textFill>
        </w:rPr>
        <w:t>）计算</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 xml:space="preserve"> </w:t>
      </w:r>
    </w:p>
    <w:p w14:paraId="2FDF8401">
      <w:pPr>
        <w:pStyle w:val="6"/>
        <w:keepNext w:val="0"/>
        <w:keepLines w:val="0"/>
        <w:pageBreakBefore w:val="0"/>
        <w:wordWrap/>
        <w:overflowPunct/>
        <w:topLinePunct w:val="0"/>
        <w:bidi w:val="0"/>
        <w:adjustRightInd/>
        <w:spacing w:line="360" w:lineRule="auto"/>
        <w:ind w:firstLine="420"/>
        <w:jc w:val="center"/>
        <w:rPr>
          <w:color w:val="000000" w:themeColor="text1"/>
          <w:sz w:val="24"/>
          <w:szCs w:val="24"/>
          <w14:textFill>
            <w14:solidFill>
              <w14:schemeClr w14:val="tx1"/>
            </w14:solidFill>
          </w14:textFill>
        </w:rPr>
      </w:pPr>
      <w:r>
        <w:rPr>
          <w:rFonts w:hint="eastAsia"/>
          <w:color w:val="000000" w:themeColor="text1"/>
          <w:position w:val="-24"/>
          <w:sz w:val="24"/>
          <w:szCs w:val="24"/>
          <w:lang w:val="en-US" w:eastAsia="zh-CN"/>
          <w14:textFill>
            <w14:solidFill>
              <w14:schemeClr w14:val="tx1"/>
            </w14:solidFill>
          </w14:textFill>
        </w:rPr>
        <w:t xml:space="preserve">                           </w:t>
      </w:r>
      <w:r>
        <w:rPr>
          <w:color w:val="000000" w:themeColor="text1"/>
          <w:position w:val="-24"/>
          <w:sz w:val="24"/>
          <w:szCs w:val="24"/>
          <w14:textFill>
            <w14:solidFill>
              <w14:schemeClr w14:val="tx1"/>
            </w14:solidFill>
          </w14:textFill>
        </w:rPr>
        <w:object>
          <v:shape id="_x0000_i1028" o:spt="75" type="#_x0000_t75" style="height:35pt;width:99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0">
            <o:LockedField>false</o:LockedField>
          </o:OLEObject>
        </w:object>
      </w:r>
      <w:r>
        <w:rPr>
          <w:rFonts w:ascii="Times New Roman" w:hAnsi="Times New Roman"/>
          <w:b/>
          <w:bCs/>
          <w:snapToGrid w:val="0"/>
          <w:color w:val="000000" w:themeColor="text1"/>
          <w:spacing w:val="-3"/>
          <w:kern w:val="0"/>
          <w:sz w:val="24"/>
          <w:szCs w:val="24"/>
          <w14:textFill>
            <w14:solidFill>
              <w14:schemeClr w14:val="tx1"/>
            </w14:solidFill>
          </w14:textFill>
        </w:rPr>
        <w:t xml:space="preserve"> </w:t>
      </w:r>
      <w:r>
        <w:rPr>
          <w:rFonts w:hint="eastAsia" w:ascii="Times New Roman"/>
          <w:color w:val="000000" w:themeColor="text1"/>
          <w:sz w:val="24"/>
          <w:szCs w:val="24"/>
          <w:lang w:val="pt-BR"/>
          <w14:textFill>
            <w14:solidFill>
              <w14:schemeClr w14:val="tx1"/>
            </w14:solidFill>
          </w14:textFill>
        </w:rPr>
        <w:t>…………………………………………</w:t>
      </w:r>
      <w:r>
        <w:rPr>
          <w:color w:val="000000" w:themeColor="text1"/>
          <w:sz w:val="24"/>
          <w:szCs w:val="24"/>
          <w14:textFill>
            <w14:solidFill>
              <w14:schemeClr w14:val="tx1"/>
            </w14:solidFill>
          </w14:textFill>
        </w:rPr>
        <w:t>（</w:t>
      </w:r>
      <w:r>
        <w:rPr>
          <w:rFonts w:hint="eastAsia"/>
          <w:color w:val="000000" w:themeColor="text1"/>
          <w:sz w:val="24"/>
          <w:szCs w:val="24"/>
          <w14:textFill>
            <w14:solidFill>
              <w14:schemeClr w14:val="tx1"/>
            </w14:solidFill>
          </w14:textFill>
        </w:rPr>
        <w:t>2</w:t>
      </w:r>
      <w:r>
        <w:rPr>
          <w:color w:val="000000" w:themeColor="text1"/>
          <w:sz w:val="24"/>
          <w:szCs w:val="24"/>
          <w14:textFill>
            <w14:solidFill>
              <w14:schemeClr w14:val="tx1"/>
            </w14:solidFill>
          </w14:textFill>
        </w:rPr>
        <w:t>）</w:t>
      </w:r>
    </w:p>
    <w:p w14:paraId="2CD7F720">
      <w:pPr>
        <w:pStyle w:val="6"/>
        <w:keepNext w:val="0"/>
        <w:keepLines w:val="0"/>
        <w:pageBreakBefore w:val="0"/>
        <w:wordWrap/>
        <w:overflowPunct/>
        <w:topLinePunct w:val="0"/>
        <w:bidi w:val="0"/>
        <w:adjustRightInd/>
        <w:spacing w:line="36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式中：</w:t>
      </w:r>
    </w:p>
    <w:p w14:paraId="74305B84">
      <w:pPr>
        <w:pStyle w:val="6"/>
        <w:keepNext w:val="0"/>
        <w:keepLines w:val="0"/>
        <w:pageBreakBefore w:val="0"/>
        <w:wordWrap/>
        <w:overflowPunct/>
        <w:topLinePunct w:val="0"/>
        <w:bidi w:val="0"/>
        <w:adjustRightInd/>
        <w:spacing w:line="360" w:lineRule="auto"/>
        <w:ind w:firstLine="420"/>
        <w:rPr>
          <w:color w:val="000000" w:themeColor="text1"/>
          <w:sz w:val="21"/>
          <w:szCs w:val="21"/>
          <w14:textFill>
            <w14:solidFill>
              <w14:schemeClr w14:val="tx1"/>
            </w14:solidFill>
          </w14:textFill>
        </w:rPr>
      </w:pPr>
      <w:r>
        <w:rPr>
          <w:rFonts w:hint="eastAsia"/>
          <w:i/>
          <w:color w:val="000000" w:themeColor="text1"/>
          <w:sz w:val="21"/>
          <w:szCs w:val="21"/>
          <w14:textFill>
            <w14:solidFill>
              <w14:schemeClr w14:val="tx1"/>
            </w14:solidFill>
          </w14:textFill>
        </w:rPr>
        <w:t>m</w:t>
      </w:r>
      <w:r>
        <w:rPr>
          <w:rFonts w:hint="eastAsia"/>
          <w:color w:val="000000" w:themeColor="text1"/>
          <w:sz w:val="21"/>
          <w:szCs w:val="21"/>
          <w:vertAlign w:val="subscript"/>
          <w14:textFill>
            <w14:solidFill>
              <w14:schemeClr w14:val="tx1"/>
            </w14:solidFill>
          </w14:textFill>
        </w:rPr>
        <w:t>1</w:t>
      </w:r>
      <w:r>
        <w:rPr>
          <w:rFonts w:hint="eastAsia"/>
          <w:color w:val="000000" w:themeColor="text1"/>
          <w:sz w:val="21"/>
          <w:szCs w:val="21"/>
          <w14:textFill>
            <w14:solidFill>
              <w14:schemeClr w14:val="tx1"/>
            </w14:solidFill>
          </w14:textFill>
        </w:rPr>
        <w:t>——试样</w:t>
      </w:r>
      <w:r>
        <w:rPr>
          <w:color w:val="000000" w:themeColor="text1"/>
          <w:sz w:val="21"/>
          <w:szCs w:val="21"/>
          <w14:textFill>
            <w14:solidFill>
              <w14:schemeClr w14:val="tx1"/>
            </w14:solidFill>
          </w14:textFill>
        </w:rPr>
        <w:t>的尿素残留</w:t>
      </w:r>
      <w:r>
        <w:rPr>
          <w:rFonts w:hint="eastAsia"/>
          <w:color w:val="000000" w:themeColor="text1"/>
          <w:sz w:val="21"/>
          <w:szCs w:val="21"/>
          <w:lang w:eastAsia="zh-CN"/>
          <w14:textFill>
            <w14:solidFill>
              <w14:schemeClr w14:val="tx1"/>
            </w14:solidFill>
          </w14:textFill>
        </w:rPr>
        <w:t>质</w:t>
      </w:r>
      <w:r>
        <w:rPr>
          <w:color w:val="000000" w:themeColor="text1"/>
          <w:sz w:val="21"/>
          <w:szCs w:val="21"/>
          <w14:textFill>
            <w14:solidFill>
              <w14:schemeClr w14:val="tx1"/>
            </w14:solidFill>
          </w14:textFill>
        </w:rPr>
        <w:t>量</w:t>
      </w:r>
      <w:r>
        <w:rPr>
          <w:rFonts w:hint="eastAsia"/>
          <w:color w:val="000000" w:themeColor="text1"/>
          <w:sz w:val="21"/>
          <w:szCs w:val="21"/>
          <w14:textFill>
            <w14:solidFill>
              <w14:schemeClr w14:val="tx1"/>
            </w14:solidFill>
          </w14:textFill>
        </w:rPr>
        <w:t>（三次平行的算术平均值）</w:t>
      </w:r>
      <w:r>
        <w:rPr>
          <w:color w:val="000000" w:themeColor="text1"/>
          <w:sz w:val="21"/>
          <w:szCs w:val="21"/>
          <w14:textFill>
            <w14:solidFill>
              <w14:schemeClr w14:val="tx1"/>
            </w14:solidFill>
          </w14:textFill>
        </w:rPr>
        <w:t>，单位为毫克（mg）；</w:t>
      </w:r>
    </w:p>
    <w:p w14:paraId="7E33CF6F">
      <w:pPr>
        <w:pStyle w:val="6"/>
        <w:keepNext w:val="0"/>
        <w:keepLines w:val="0"/>
        <w:pageBreakBefore w:val="0"/>
        <w:wordWrap/>
        <w:overflowPunct/>
        <w:topLinePunct w:val="0"/>
        <w:bidi w:val="0"/>
        <w:adjustRightInd/>
        <w:spacing w:line="360" w:lineRule="auto"/>
        <w:ind w:firstLine="420"/>
        <w:rPr>
          <w:color w:val="000000" w:themeColor="text1"/>
          <w:sz w:val="21"/>
          <w:szCs w:val="21"/>
          <w14:textFill>
            <w14:solidFill>
              <w14:schemeClr w14:val="tx1"/>
            </w14:solidFill>
          </w14:textFill>
        </w:rPr>
      </w:pPr>
      <w:r>
        <w:rPr>
          <w:rFonts w:hint="eastAsia"/>
          <w:i/>
          <w:color w:val="000000" w:themeColor="text1"/>
          <w:sz w:val="21"/>
          <w:szCs w:val="21"/>
          <w14:textFill>
            <w14:solidFill>
              <w14:schemeClr w14:val="tx1"/>
            </w14:solidFill>
          </w14:textFill>
        </w:rPr>
        <w:t>m</w:t>
      </w:r>
      <w:r>
        <w:rPr>
          <w:rFonts w:hint="eastAsia"/>
          <w:color w:val="000000" w:themeColor="text1"/>
          <w:sz w:val="21"/>
          <w:szCs w:val="21"/>
          <w:vertAlign w:val="subscript"/>
          <w14:textFill>
            <w14:solidFill>
              <w14:schemeClr w14:val="tx1"/>
            </w14:solidFill>
          </w14:textFill>
        </w:rPr>
        <w:t>2</w:t>
      </w:r>
      <w:r>
        <w:rPr>
          <w:rFonts w:hint="eastAsia"/>
          <w:color w:val="000000" w:themeColor="text1"/>
          <w:sz w:val="21"/>
          <w:szCs w:val="21"/>
          <w14:textFill>
            <w14:solidFill>
              <w14:schemeClr w14:val="tx1"/>
            </w14:solidFill>
          </w14:textFill>
        </w:rPr>
        <w:t>——</w:t>
      </w:r>
      <w:r>
        <w:rPr>
          <w:color w:val="000000" w:themeColor="text1"/>
          <w:sz w:val="21"/>
          <w:szCs w:val="21"/>
          <w14:textFill>
            <w14:solidFill>
              <w14:schemeClr w14:val="tx1"/>
            </w14:solidFill>
          </w14:textFill>
        </w:rPr>
        <w:t>对照</w:t>
      </w:r>
      <w:r>
        <w:rPr>
          <w:rFonts w:hint="eastAsia"/>
          <w:color w:val="000000" w:themeColor="text1"/>
          <w:sz w:val="21"/>
          <w:szCs w:val="21"/>
          <w14:textFill>
            <w14:solidFill>
              <w14:schemeClr w14:val="tx1"/>
            </w14:solidFill>
          </w14:textFill>
        </w:rPr>
        <w:t>样品</w:t>
      </w:r>
      <w:r>
        <w:rPr>
          <w:color w:val="000000" w:themeColor="text1"/>
          <w:sz w:val="21"/>
          <w:szCs w:val="21"/>
          <w14:textFill>
            <w14:solidFill>
              <w14:schemeClr w14:val="tx1"/>
            </w14:solidFill>
          </w14:textFill>
        </w:rPr>
        <w:t>的尿素残留</w:t>
      </w:r>
      <w:r>
        <w:rPr>
          <w:rFonts w:hint="eastAsia"/>
          <w:color w:val="000000" w:themeColor="text1"/>
          <w:sz w:val="21"/>
          <w:szCs w:val="21"/>
          <w:lang w:eastAsia="zh-CN"/>
          <w14:textFill>
            <w14:solidFill>
              <w14:schemeClr w14:val="tx1"/>
            </w14:solidFill>
          </w14:textFill>
        </w:rPr>
        <w:t>质</w:t>
      </w:r>
      <w:r>
        <w:rPr>
          <w:color w:val="000000" w:themeColor="text1"/>
          <w:sz w:val="21"/>
          <w:szCs w:val="21"/>
          <w14:textFill>
            <w14:solidFill>
              <w14:schemeClr w14:val="tx1"/>
            </w14:solidFill>
          </w14:textFill>
        </w:rPr>
        <w:t>量</w:t>
      </w:r>
      <w:r>
        <w:rPr>
          <w:rFonts w:hint="eastAsia"/>
          <w:color w:val="000000" w:themeColor="text1"/>
          <w:sz w:val="21"/>
          <w:szCs w:val="21"/>
          <w14:textFill>
            <w14:solidFill>
              <w14:schemeClr w14:val="tx1"/>
            </w14:solidFill>
          </w14:textFill>
        </w:rPr>
        <w:t>（三次平行的算术平均值）</w:t>
      </w:r>
      <w:r>
        <w:rPr>
          <w:color w:val="000000" w:themeColor="text1"/>
          <w:sz w:val="21"/>
          <w:szCs w:val="21"/>
          <w14:textFill>
            <w14:solidFill>
              <w14:schemeClr w14:val="tx1"/>
            </w14:solidFill>
          </w14:textFill>
        </w:rPr>
        <w:t>，单位为毫克（mg）；</w:t>
      </w:r>
    </w:p>
    <w:p w14:paraId="24A9D887">
      <w:pPr>
        <w:pStyle w:val="6"/>
        <w:keepNext w:val="0"/>
        <w:keepLines w:val="0"/>
        <w:pageBreakBefore w:val="0"/>
        <w:wordWrap/>
        <w:overflowPunct/>
        <w:topLinePunct w:val="0"/>
        <w:bidi w:val="0"/>
        <w:adjustRightInd/>
        <w:spacing w:line="36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计算结果保留到小数点后一位。</w:t>
      </w:r>
      <w:r>
        <w:rPr>
          <w:rFonts w:hint="eastAsia"/>
          <w:color w:val="000000" w:themeColor="text1"/>
          <w:sz w:val="21"/>
          <w:szCs w:val="21"/>
          <w14:textFill>
            <w14:solidFill>
              <w14:schemeClr w14:val="tx1"/>
            </w14:solidFill>
          </w14:textFill>
        </w:rPr>
        <w:t>取</w:t>
      </w:r>
      <w:r>
        <w:rPr>
          <w:rFonts w:hint="eastAsia"/>
          <w:color w:val="000000" w:themeColor="text1"/>
          <w:sz w:val="21"/>
          <w:szCs w:val="21"/>
          <w:lang w:val="en-US" w:eastAsia="zh-CN"/>
          <w14:textFill>
            <w14:solidFill>
              <w14:schemeClr w14:val="tx1"/>
            </w14:solidFill>
          </w14:textFill>
        </w:rPr>
        <w:t>三</w:t>
      </w:r>
      <w:r>
        <w:rPr>
          <w:rFonts w:hint="eastAsia"/>
          <w:color w:val="000000" w:themeColor="text1"/>
          <w:sz w:val="21"/>
          <w:szCs w:val="21"/>
          <w14:textFill>
            <w14:solidFill>
              <w14:schemeClr w14:val="tx1"/>
            </w14:solidFill>
          </w14:textFill>
        </w:rPr>
        <w:t>次平行测定结果的算术平均值作为测定结果。</w:t>
      </w:r>
    </w:p>
    <w:p w14:paraId="22E4689E">
      <w:pPr>
        <w:pStyle w:val="19"/>
        <w:keepNext w:val="0"/>
        <w:keepLines w:val="0"/>
        <w:pageBreakBefore w:val="0"/>
        <w:numPr>
          <w:ilvl w:val="3"/>
          <w:numId w:val="0"/>
        </w:numPr>
        <w:wordWrap/>
        <w:overflowPunct/>
        <w:topLinePunct w:val="0"/>
        <w:bidi w:val="0"/>
        <w:adjustRightInd/>
        <w:spacing w:before="156" w:after="156" w:line="360" w:lineRule="auto"/>
        <w:ind w:leftChars="0"/>
        <w:rPr>
          <w:b/>
          <w:bCs/>
          <w:color w:val="000000" w:themeColor="text1"/>
          <w:sz w:val="24"/>
          <w:szCs w:val="24"/>
          <w14:textFill>
            <w14:solidFill>
              <w14:schemeClr w14:val="tx1"/>
            </w14:solidFill>
          </w14:textFill>
        </w:rPr>
      </w:pPr>
      <w:bookmarkStart w:id="15" w:name="_Toc231994780"/>
      <w:r>
        <w:rPr>
          <w:rFonts w:hint="eastAsia"/>
          <w:b/>
          <w:bCs/>
          <w:color w:val="000000" w:themeColor="text1"/>
          <w:sz w:val="24"/>
          <w:szCs w:val="24"/>
          <w:lang w:val="en-US" w:eastAsia="zh-CN"/>
          <w14:textFill>
            <w14:solidFill>
              <w14:schemeClr w14:val="tx1"/>
            </w14:solidFill>
          </w14:textFill>
        </w:rPr>
        <w:t>5.2.6</w:t>
      </w:r>
      <w:r>
        <w:rPr>
          <w:rFonts w:hint="eastAsia"/>
          <w:b/>
          <w:bCs/>
          <w:color w:val="000000" w:themeColor="text1"/>
          <w:sz w:val="24"/>
          <w:szCs w:val="24"/>
          <w14:textFill>
            <w14:solidFill>
              <w14:schemeClr w14:val="tx1"/>
            </w14:solidFill>
          </w14:textFill>
        </w:rPr>
        <w:t>允许差</w:t>
      </w:r>
      <w:bookmarkEnd w:id="15"/>
    </w:p>
    <w:p w14:paraId="6C31B31E">
      <w:pPr>
        <w:pStyle w:val="6"/>
        <w:keepNext w:val="0"/>
        <w:keepLines w:val="0"/>
        <w:pageBreakBefore w:val="0"/>
        <w:wordWrap/>
        <w:overflowPunct/>
        <w:topLinePunct w:val="0"/>
        <w:bidi w:val="0"/>
        <w:adjustRightInd/>
        <w:spacing w:line="360" w:lineRule="auto"/>
        <w:ind w:firstLine="420"/>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14:textFill>
            <w14:solidFill>
              <w14:schemeClr w14:val="tx1"/>
            </w14:solidFill>
          </w14:textFill>
        </w:rPr>
        <w:t>平行测定结果之间相对偏差不大于5.0 %，不同实验室测定结果的相对偏差不大于10.0 %。</w:t>
      </w:r>
    </w:p>
    <w:p w14:paraId="3F641A1B">
      <w:pPr>
        <w:pStyle w:val="6"/>
        <w:keepNext w:val="0"/>
        <w:keepLines w:val="0"/>
        <w:pageBreakBefore w:val="0"/>
        <w:wordWrap/>
        <w:overflowPunct/>
        <w:topLinePunct w:val="0"/>
        <w:bidi w:val="0"/>
        <w:adjustRightInd/>
        <w:spacing w:line="360" w:lineRule="auto"/>
        <w:ind w:left="0" w:leftChars="0" w:firstLine="0" w:firstLineChars="0"/>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bCs/>
          <w:color w:val="000000" w:themeColor="text1"/>
          <w:kern w:val="2"/>
          <w:sz w:val="24"/>
          <w:szCs w:val="24"/>
          <w:lang w:val="en-US" w:eastAsia="zh-CN" w:bidi="ar-SA"/>
          <w14:textFill>
            <w14:solidFill>
              <w14:schemeClr w14:val="tx1"/>
            </w14:solidFill>
          </w14:textFill>
        </w:rPr>
        <w:t>5.3　硝化潜势差异率</w:t>
      </w:r>
    </w:p>
    <w:p w14:paraId="028FA2C2">
      <w:pPr>
        <w:pStyle w:val="6"/>
        <w:keepNext w:val="0"/>
        <w:keepLines w:val="0"/>
        <w:pageBreakBefore w:val="0"/>
        <w:wordWrap/>
        <w:overflowPunct/>
        <w:topLinePunct w:val="0"/>
        <w:bidi w:val="0"/>
        <w:adjustRightInd/>
        <w:spacing w:line="360" w:lineRule="auto"/>
        <w:ind w:firstLine="420"/>
        <w:rPr>
          <w:rFonts w:hint="default"/>
          <w:color w:val="000000" w:themeColor="text1"/>
          <w:sz w:val="24"/>
          <w:szCs w:val="24"/>
          <w:highlight w:val="yellow"/>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本文件中硝化潜势差异率指标测定的的原理、培养方法和计算逻辑均依据</w:t>
      </w:r>
      <w:r>
        <w:rPr>
          <w:rFonts w:hint="eastAsia"/>
          <w:color w:val="000000" w:themeColor="text1"/>
          <w:sz w:val="24"/>
          <w:szCs w:val="24"/>
          <w:highlight w:val="none"/>
          <w14:textFill>
            <w14:solidFill>
              <w14:schemeClr w14:val="tx1"/>
            </w14:solidFill>
          </w14:textFill>
        </w:rPr>
        <w:t>GB/T 41223</w:t>
      </w:r>
      <w:r>
        <w:rPr>
          <w:rFonts w:hint="eastAsia"/>
          <w:color w:val="000000" w:themeColor="text1"/>
          <w:sz w:val="24"/>
          <w:szCs w:val="24"/>
          <w:highlight w:val="none"/>
          <w:lang w:val="en-US" w:eastAsia="zh-CN"/>
          <w14:textFill>
            <w14:solidFill>
              <w14:schemeClr w14:val="tx1"/>
            </w14:solidFill>
          </w14:textFill>
        </w:rPr>
        <w:t>中制定。</w:t>
      </w:r>
    </w:p>
    <w:p w14:paraId="46C3129D">
      <w:pPr>
        <w:pStyle w:val="19"/>
        <w:keepNext w:val="0"/>
        <w:keepLines w:val="0"/>
        <w:pageBreakBefore w:val="0"/>
        <w:numPr>
          <w:ilvl w:val="3"/>
          <w:numId w:val="0"/>
        </w:numPr>
        <w:wordWrap/>
        <w:overflowPunct/>
        <w:topLinePunct w:val="0"/>
        <w:bidi w:val="0"/>
        <w:adjustRightInd/>
        <w:spacing w:before="156" w:after="156" w:line="360" w:lineRule="auto"/>
        <w:ind w:leftChars="0"/>
        <w:rPr>
          <w:b/>
          <w:bCs/>
          <w:color w:val="000000" w:themeColor="text1"/>
          <w:sz w:val="24"/>
          <w:szCs w:val="24"/>
          <w14:textFill>
            <w14:solidFill>
              <w14:schemeClr w14:val="tx1"/>
            </w14:solidFill>
          </w14:textFill>
        </w:rPr>
      </w:pPr>
      <w:bookmarkStart w:id="16" w:name="_Toc231994782"/>
      <w:r>
        <w:rPr>
          <w:rFonts w:hint="eastAsia"/>
          <w:b/>
          <w:bCs/>
          <w:color w:val="000000" w:themeColor="text1"/>
          <w:sz w:val="24"/>
          <w:szCs w:val="24"/>
          <w:lang w:val="en-US" w:eastAsia="zh-CN"/>
          <w14:textFill>
            <w14:solidFill>
              <w14:schemeClr w14:val="tx1"/>
            </w14:solidFill>
          </w14:textFill>
        </w:rPr>
        <w:t>5.3.1</w:t>
      </w:r>
      <w:r>
        <w:rPr>
          <w:rFonts w:hint="eastAsia"/>
          <w:b/>
          <w:bCs/>
          <w:color w:val="000000" w:themeColor="text1"/>
          <w:sz w:val="24"/>
          <w:szCs w:val="24"/>
          <w14:textFill>
            <w14:solidFill>
              <w14:schemeClr w14:val="tx1"/>
            </w14:solidFill>
          </w14:textFill>
        </w:rPr>
        <w:t>原理</w:t>
      </w:r>
      <w:bookmarkEnd w:id="16"/>
    </w:p>
    <w:p w14:paraId="1C01186A">
      <w:pPr>
        <w:pStyle w:val="6"/>
        <w:keepNext w:val="0"/>
        <w:keepLines w:val="0"/>
        <w:pageBreakBefore w:val="0"/>
        <w:wordWrap/>
        <w:overflowPunct/>
        <w:topLinePunct w:val="0"/>
        <w:bidi w:val="0"/>
        <w:adjustRightInd/>
        <w:spacing w:line="360" w:lineRule="auto"/>
        <w:ind w:firstLine="42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氨氧化是土壤自养硝化作用的第一步，用来评价硝化微生物种群的潜在活性</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即硝化潜势</w:t>
      </w:r>
      <w:r>
        <w:rPr>
          <w:rFonts w:hint="eastAsia"/>
          <w:color w:val="000000" w:themeColor="text1"/>
          <w:sz w:val="24"/>
          <w:szCs w:val="24"/>
          <w14:textFill>
            <w14:solidFill>
              <w14:schemeClr w14:val="tx1"/>
            </w14:solidFill>
          </w14:textFill>
        </w:rPr>
        <w:t>。通过向土壤泥浆中添加适量的含氮培养液促进氨氧化微生物生长，然后加入氯酸钠抑制亚硝酸氧化细菌所调控</w:t>
      </w:r>
      <w:r>
        <w:rPr>
          <w:rFonts w:hint="eastAsia"/>
          <w:color w:val="000000" w:themeColor="text1"/>
          <w:sz w:val="24"/>
          <w:szCs w:val="24"/>
          <w:lang w:val="en-US" w:eastAsia="zh-CN"/>
          <w14:textFill>
            <w14:solidFill>
              <w14:schemeClr w14:val="tx1"/>
            </w14:solidFill>
          </w14:textFill>
        </w:rPr>
        <w:t>的</w:t>
      </w:r>
      <w:r>
        <w:rPr>
          <w:rFonts w:hint="eastAsia"/>
          <w:color w:val="000000" w:themeColor="text1"/>
          <w:sz w:val="24"/>
          <w:szCs w:val="24"/>
          <w14:textFill>
            <w14:solidFill>
              <w14:schemeClr w14:val="tx1"/>
            </w14:solidFill>
          </w14:textFill>
        </w:rPr>
        <w:t>亚硝酸盐氧化过程；通过测定培养2小时和6小时后累积的亚硝酸盐含量</w:t>
      </w:r>
      <w:r>
        <w:rPr>
          <w:rFonts w:hint="eastAsia"/>
          <w:color w:val="000000" w:themeColor="text1"/>
          <w:sz w:val="24"/>
          <w:szCs w:val="24"/>
          <w:lang w:val="en-US" w:eastAsia="zh-CN"/>
          <w14:textFill>
            <w14:solidFill>
              <w14:schemeClr w14:val="tx1"/>
            </w14:solidFill>
          </w14:textFill>
        </w:rPr>
        <w:t>差值</w:t>
      </w:r>
      <w:r>
        <w:rPr>
          <w:rFonts w:hint="eastAsia"/>
          <w:color w:val="000000" w:themeColor="text1"/>
          <w:sz w:val="24"/>
          <w:szCs w:val="24"/>
          <w14:textFill>
            <w14:solidFill>
              <w14:schemeClr w14:val="tx1"/>
            </w14:solidFill>
          </w14:textFill>
        </w:rPr>
        <w:t>来计算</w:t>
      </w:r>
      <w:r>
        <w:rPr>
          <w:rFonts w:hint="eastAsia"/>
          <w:color w:val="000000" w:themeColor="text1"/>
          <w:sz w:val="24"/>
          <w:szCs w:val="24"/>
          <w:lang w:val="en-US" w:eastAsia="zh-CN"/>
          <w14:textFill>
            <w14:solidFill>
              <w14:schemeClr w14:val="tx1"/>
            </w14:solidFill>
          </w14:textFill>
        </w:rPr>
        <w:t>硝化潜势</w:t>
      </w:r>
      <w:r>
        <w:rPr>
          <w:rFonts w:hint="eastAsia"/>
          <w:color w:val="000000" w:themeColor="text1"/>
          <w:sz w:val="24"/>
          <w:szCs w:val="24"/>
          <w14:textFill>
            <w14:solidFill>
              <w14:schemeClr w14:val="tx1"/>
            </w14:solidFill>
          </w14:textFill>
        </w:rPr>
        <w:t>；进一步通过比较等氮量的肥料样品与对照在培养过程中产生的</w:t>
      </w:r>
      <w:r>
        <w:rPr>
          <w:rFonts w:hint="eastAsia"/>
          <w:color w:val="000000" w:themeColor="text1"/>
          <w:sz w:val="24"/>
          <w:szCs w:val="24"/>
          <w:lang w:val="en-US" w:eastAsia="zh-CN"/>
          <w14:textFill>
            <w14:solidFill>
              <w14:schemeClr w14:val="tx1"/>
            </w14:solidFill>
          </w14:textFill>
        </w:rPr>
        <w:t>硝化潜势</w:t>
      </w:r>
      <w:r>
        <w:rPr>
          <w:rFonts w:hint="eastAsia"/>
          <w:color w:val="000000" w:themeColor="text1"/>
          <w:sz w:val="24"/>
          <w:szCs w:val="24"/>
          <w14:textFill>
            <w14:solidFill>
              <w14:schemeClr w14:val="tx1"/>
            </w14:solidFill>
          </w14:textFill>
        </w:rPr>
        <w:t>差异，以此评估肥料样品的硝化抑制效果。</w:t>
      </w:r>
    </w:p>
    <w:p w14:paraId="5E845BAB">
      <w:pPr>
        <w:pStyle w:val="19"/>
        <w:keepNext w:val="0"/>
        <w:keepLines w:val="0"/>
        <w:pageBreakBefore w:val="0"/>
        <w:numPr>
          <w:ilvl w:val="3"/>
          <w:numId w:val="0"/>
        </w:numPr>
        <w:wordWrap/>
        <w:overflowPunct/>
        <w:topLinePunct w:val="0"/>
        <w:bidi w:val="0"/>
        <w:adjustRightInd/>
        <w:spacing w:before="156" w:after="156" w:line="360" w:lineRule="auto"/>
        <w:ind w:leftChars="0"/>
        <w:rPr>
          <w:b/>
          <w:bCs/>
          <w:color w:val="000000" w:themeColor="text1"/>
          <w:sz w:val="24"/>
          <w:szCs w:val="24"/>
          <w14:textFill>
            <w14:solidFill>
              <w14:schemeClr w14:val="tx1"/>
            </w14:solidFill>
          </w14:textFill>
        </w:rPr>
      </w:pPr>
      <w:bookmarkStart w:id="17" w:name="_Toc231994783"/>
      <w:r>
        <w:rPr>
          <w:rFonts w:hint="eastAsia"/>
          <w:b/>
          <w:bCs/>
          <w:color w:val="000000" w:themeColor="text1"/>
          <w:sz w:val="24"/>
          <w:szCs w:val="24"/>
          <w:lang w:val="en-US" w:eastAsia="zh-CN"/>
          <w14:textFill>
            <w14:solidFill>
              <w14:schemeClr w14:val="tx1"/>
            </w14:solidFill>
          </w14:textFill>
        </w:rPr>
        <w:t>5.3.2</w:t>
      </w:r>
      <w:r>
        <w:rPr>
          <w:rFonts w:hint="eastAsia"/>
          <w:b/>
          <w:bCs/>
          <w:color w:val="000000" w:themeColor="text1"/>
          <w:sz w:val="24"/>
          <w:szCs w:val="24"/>
          <w14:textFill>
            <w14:solidFill>
              <w14:schemeClr w14:val="tx1"/>
            </w14:solidFill>
          </w14:textFill>
        </w:rPr>
        <w:t>仪器和设备</w:t>
      </w:r>
      <w:bookmarkEnd w:id="17"/>
    </w:p>
    <w:p w14:paraId="16BD9972">
      <w:pPr>
        <w:pStyle w:val="20"/>
        <w:keepNext w:val="0"/>
        <w:keepLines w:val="0"/>
        <w:pageBreakBefore w:val="0"/>
        <w:numPr>
          <w:ilvl w:val="4"/>
          <w:numId w:val="0"/>
        </w:numPr>
        <w:wordWrap/>
        <w:overflowPunct/>
        <w:topLinePunct w:val="0"/>
        <w:bidi w:val="0"/>
        <w:adjustRightInd/>
        <w:spacing w:line="360" w:lineRule="auto"/>
        <w:ind w:leftChars="0"/>
        <w:rPr>
          <w:snapToGrid w:val="0"/>
          <w:color w:val="000000" w:themeColor="text1"/>
          <w:sz w:val="24"/>
          <w:szCs w:val="24"/>
          <w14:textFill>
            <w14:solidFill>
              <w14:schemeClr w14:val="tx1"/>
            </w14:solidFill>
          </w14:textFill>
        </w:rPr>
      </w:pPr>
      <w:r>
        <w:rPr>
          <w:rFonts w:hint="eastAsia"/>
          <w:snapToGrid w:val="0"/>
          <w:color w:val="000000" w:themeColor="text1"/>
          <w:sz w:val="24"/>
          <w:szCs w:val="24"/>
          <w:lang w:val="en-US" w:eastAsia="zh-CN"/>
          <w14:textFill>
            <w14:solidFill>
              <w14:schemeClr w14:val="tx1"/>
            </w14:solidFill>
          </w14:textFill>
        </w:rPr>
        <w:t>5.3.2.1</w:t>
      </w:r>
      <w:r>
        <w:rPr>
          <w:snapToGrid w:val="0"/>
          <w:color w:val="000000" w:themeColor="text1"/>
          <w:sz w:val="24"/>
          <w:szCs w:val="24"/>
          <w14:textFill>
            <w14:solidFill>
              <w14:schemeClr w14:val="tx1"/>
            </w14:solidFill>
          </w14:textFill>
        </w:rPr>
        <w:t>通常实验室用仪器。</w:t>
      </w:r>
    </w:p>
    <w:p w14:paraId="02B47A97">
      <w:pPr>
        <w:pStyle w:val="20"/>
        <w:keepNext w:val="0"/>
        <w:keepLines w:val="0"/>
        <w:pageBreakBefore w:val="0"/>
        <w:numPr>
          <w:ilvl w:val="4"/>
          <w:numId w:val="0"/>
        </w:numPr>
        <w:wordWrap/>
        <w:overflowPunct/>
        <w:topLinePunct w:val="0"/>
        <w:bidi w:val="0"/>
        <w:adjustRightInd/>
        <w:spacing w:line="360" w:lineRule="auto"/>
        <w:ind w:leftChars="0"/>
        <w:rPr>
          <w:snapToGrid w:val="0"/>
          <w:color w:val="000000" w:themeColor="text1"/>
          <w:spacing w:val="-6"/>
          <w:sz w:val="24"/>
          <w:szCs w:val="24"/>
          <w14:textFill>
            <w14:solidFill>
              <w14:schemeClr w14:val="tx1"/>
            </w14:solidFill>
          </w14:textFill>
        </w:rPr>
      </w:pPr>
      <w:r>
        <w:rPr>
          <w:rFonts w:hint="eastAsia"/>
          <w:snapToGrid w:val="0"/>
          <w:color w:val="000000" w:themeColor="text1"/>
          <w:spacing w:val="4"/>
          <w:sz w:val="24"/>
          <w:szCs w:val="24"/>
          <w:lang w:val="en-US" w:eastAsia="zh-CN"/>
          <w14:textFill>
            <w14:solidFill>
              <w14:schemeClr w14:val="tx1"/>
            </w14:solidFill>
          </w14:textFill>
        </w:rPr>
        <w:t>5.3.2.2</w:t>
      </w:r>
      <w:r>
        <w:rPr>
          <w:snapToGrid w:val="0"/>
          <w:color w:val="000000" w:themeColor="text1"/>
          <w:spacing w:val="4"/>
          <w:sz w:val="24"/>
          <w:szCs w:val="24"/>
          <w14:textFill>
            <w14:solidFill>
              <w14:schemeClr w14:val="tx1"/>
            </w14:solidFill>
          </w14:textFill>
        </w:rPr>
        <w:t>紫外分</w:t>
      </w:r>
      <w:r>
        <w:rPr>
          <w:snapToGrid w:val="0"/>
          <w:color w:val="000000" w:themeColor="text1"/>
          <w:spacing w:val="-6"/>
          <w:sz w:val="24"/>
          <w:szCs w:val="24"/>
          <w14:textFill>
            <w14:solidFill>
              <w14:schemeClr w14:val="tx1"/>
            </w14:solidFill>
          </w14:textFill>
        </w:rPr>
        <w:t>光光度计。</w:t>
      </w:r>
    </w:p>
    <w:p w14:paraId="60CFB3F7">
      <w:pPr>
        <w:pStyle w:val="20"/>
        <w:keepNext w:val="0"/>
        <w:keepLines w:val="0"/>
        <w:pageBreakBefore w:val="0"/>
        <w:numPr>
          <w:ilvl w:val="4"/>
          <w:numId w:val="0"/>
        </w:numPr>
        <w:wordWrap/>
        <w:overflowPunct/>
        <w:topLinePunct w:val="0"/>
        <w:bidi w:val="0"/>
        <w:adjustRightInd/>
        <w:spacing w:line="360" w:lineRule="auto"/>
        <w:ind w:leftChars="0"/>
        <w:rPr>
          <w:snapToGrid w:val="0"/>
          <w:color w:val="000000" w:themeColor="text1"/>
          <w:spacing w:val="-6"/>
          <w:sz w:val="24"/>
          <w:szCs w:val="24"/>
          <w14:textFill>
            <w14:solidFill>
              <w14:schemeClr w14:val="tx1"/>
            </w14:solidFill>
          </w14:textFill>
        </w:rPr>
      </w:pPr>
      <w:r>
        <w:rPr>
          <w:rFonts w:hint="eastAsia"/>
          <w:snapToGrid w:val="0"/>
          <w:color w:val="000000" w:themeColor="text1"/>
          <w:spacing w:val="-6"/>
          <w:sz w:val="24"/>
          <w:szCs w:val="24"/>
          <w:lang w:val="en-US" w:eastAsia="zh-CN"/>
          <w14:textFill>
            <w14:solidFill>
              <w14:schemeClr w14:val="tx1"/>
            </w14:solidFill>
          </w14:textFill>
        </w:rPr>
        <w:t xml:space="preserve">5.3.2.3 </w:t>
      </w:r>
      <w:r>
        <w:rPr>
          <w:snapToGrid w:val="0"/>
          <w:color w:val="000000" w:themeColor="text1"/>
          <w:spacing w:val="-6"/>
          <w:sz w:val="24"/>
          <w:szCs w:val="24"/>
          <w14:textFill>
            <w14:solidFill>
              <w14:schemeClr w14:val="tx1"/>
            </w14:solidFill>
          </w14:textFill>
        </w:rPr>
        <w:t>-20</w:t>
      </w:r>
      <w:r>
        <w:rPr>
          <w:rFonts w:hint="eastAsia"/>
          <w:snapToGrid w:val="0"/>
          <w:color w:val="000000" w:themeColor="text1"/>
          <w:spacing w:val="-6"/>
          <w:sz w:val="24"/>
          <w:szCs w:val="24"/>
          <w:lang w:val="en-US" w:eastAsia="zh-CN"/>
          <w14:textFill>
            <w14:solidFill>
              <w14:schemeClr w14:val="tx1"/>
            </w14:solidFill>
          </w14:textFill>
        </w:rPr>
        <w:t>℃</w:t>
      </w:r>
      <w:r>
        <w:rPr>
          <w:rFonts w:hint="eastAsia"/>
          <w:snapToGrid w:val="0"/>
          <w:color w:val="000000" w:themeColor="text1"/>
          <w:spacing w:val="-6"/>
          <w:sz w:val="24"/>
          <w:szCs w:val="24"/>
          <w14:textFill>
            <w14:solidFill>
              <w14:schemeClr w14:val="tx1"/>
            </w14:solidFill>
          </w14:textFill>
        </w:rPr>
        <w:t>温控</w:t>
      </w:r>
      <w:r>
        <w:rPr>
          <w:snapToGrid w:val="0"/>
          <w:color w:val="000000" w:themeColor="text1"/>
          <w:spacing w:val="-6"/>
          <w:sz w:val="24"/>
          <w:szCs w:val="24"/>
          <w14:textFill>
            <w14:solidFill>
              <w14:schemeClr w14:val="tx1"/>
            </w14:solidFill>
          </w14:textFill>
        </w:rPr>
        <w:t>冰箱。</w:t>
      </w:r>
    </w:p>
    <w:p w14:paraId="1B380505">
      <w:pPr>
        <w:pStyle w:val="20"/>
        <w:keepNext w:val="0"/>
        <w:keepLines w:val="0"/>
        <w:pageBreakBefore w:val="0"/>
        <w:numPr>
          <w:ilvl w:val="4"/>
          <w:numId w:val="0"/>
        </w:numPr>
        <w:wordWrap/>
        <w:overflowPunct/>
        <w:topLinePunct w:val="0"/>
        <w:bidi w:val="0"/>
        <w:adjustRightInd/>
        <w:spacing w:line="360" w:lineRule="auto"/>
        <w:ind w:leftChars="0"/>
        <w:rPr>
          <w:snapToGrid w:val="0"/>
          <w:color w:val="000000" w:themeColor="text1"/>
          <w:spacing w:val="-6"/>
          <w:sz w:val="24"/>
          <w:szCs w:val="24"/>
          <w14:textFill>
            <w14:solidFill>
              <w14:schemeClr w14:val="tx1"/>
            </w14:solidFill>
          </w14:textFill>
        </w:rPr>
      </w:pPr>
      <w:r>
        <w:rPr>
          <w:rFonts w:hint="eastAsia"/>
          <w:snapToGrid w:val="0"/>
          <w:color w:val="000000" w:themeColor="text1"/>
          <w:spacing w:val="-6"/>
          <w:sz w:val="24"/>
          <w:szCs w:val="24"/>
          <w:lang w:val="en-US" w:eastAsia="zh-CN"/>
          <w14:textFill>
            <w14:solidFill>
              <w14:schemeClr w14:val="tx1"/>
            </w14:solidFill>
          </w14:textFill>
        </w:rPr>
        <w:t xml:space="preserve">5.3.2.4 </w:t>
      </w:r>
      <w:r>
        <w:rPr>
          <w:snapToGrid w:val="0"/>
          <w:color w:val="000000" w:themeColor="text1"/>
          <w:spacing w:val="-6"/>
          <w:sz w:val="24"/>
          <w:szCs w:val="24"/>
          <w14:textFill>
            <w14:solidFill>
              <w14:schemeClr w14:val="tx1"/>
            </w14:solidFill>
          </w14:textFill>
        </w:rPr>
        <w:t>pH计。</w:t>
      </w:r>
    </w:p>
    <w:p w14:paraId="4F2545B7">
      <w:pPr>
        <w:pStyle w:val="20"/>
        <w:keepNext w:val="0"/>
        <w:keepLines w:val="0"/>
        <w:pageBreakBefore w:val="0"/>
        <w:numPr>
          <w:ilvl w:val="4"/>
          <w:numId w:val="0"/>
        </w:numPr>
        <w:wordWrap/>
        <w:overflowPunct/>
        <w:topLinePunct w:val="0"/>
        <w:bidi w:val="0"/>
        <w:adjustRightInd/>
        <w:spacing w:line="360" w:lineRule="auto"/>
        <w:ind w:leftChars="0"/>
        <w:rPr>
          <w:snapToGrid w:val="0"/>
          <w:color w:val="000000" w:themeColor="text1"/>
          <w:sz w:val="24"/>
          <w:szCs w:val="24"/>
          <w14:textFill>
            <w14:solidFill>
              <w14:schemeClr w14:val="tx1"/>
            </w14:solidFill>
          </w14:textFill>
        </w:rPr>
      </w:pPr>
      <w:r>
        <w:rPr>
          <w:rFonts w:hint="eastAsia"/>
          <w:snapToGrid w:val="0"/>
          <w:color w:val="000000" w:themeColor="text1"/>
          <w:sz w:val="24"/>
          <w:szCs w:val="24"/>
          <w:lang w:val="en-US" w:eastAsia="zh-CN"/>
          <w14:textFill>
            <w14:solidFill>
              <w14:schemeClr w14:val="tx1"/>
            </w14:solidFill>
          </w14:textFill>
        </w:rPr>
        <w:t xml:space="preserve">5.3.2.5 </w:t>
      </w:r>
      <w:r>
        <w:rPr>
          <w:snapToGrid w:val="0"/>
          <w:color w:val="000000" w:themeColor="text1"/>
          <w:sz w:val="24"/>
          <w:szCs w:val="24"/>
          <w14:textFill>
            <w14:solidFill>
              <w14:schemeClr w14:val="tx1"/>
            </w14:solidFill>
          </w14:textFill>
        </w:rPr>
        <w:t>恒温培养振荡器：空气式或水浴式均可，转速≥180</w:t>
      </w:r>
      <w:r>
        <w:rPr>
          <w:snapToGrid w:val="0"/>
          <w:color w:val="000000" w:themeColor="text1"/>
          <w:spacing w:val="9"/>
          <w:sz w:val="24"/>
          <w:szCs w:val="24"/>
          <w14:textFill>
            <w14:solidFill>
              <w14:schemeClr w14:val="tx1"/>
            </w14:solidFill>
          </w14:textFill>
        </w:rPr>
        <w:t xml:space="preserve"> </w:t>
      </w:r>
      <w:r>
        <w:rPr>
          <w:snapToGrid w:val="0"/>
          <w:color w:val="000000" w:themeColor="text1"/>
          <w:sz w:val="24"/>
          <w:szCs w:val="24"/>
          <w14:textFill>
            <w14:solidFill>
              <w14:schemeClr w14:val="tx1"/>
            </w14:solidFill>
          </w14:textFill>
        </w:rPr>
        <w:t>r/min。</w:t>
      </w:r>
    </w:p>
    <w:p w14:paraId="63F06075">
      <w:pPr>
        <w:pStyle w:val="20"/>
        <w:keepNext w:val="0"/>
        <w:keepLines w:val="0"/>
        <w:pageBreakBefore w:val="0"/>
        <w:numPr>
          <w:ilvl w:val="4"/>
          <w:numId w:val="0"/>
        </w:numPr>
        <w:wordWrap/>
        <w:overflowPunct/>
        <w:topLinePunct w:val="0"/>
        <w:bidi w:val="0"/>
        <w:adjustRightInd/>
        <w:spacing w:line="360" w:lineRule="auto"/>
        <w:ind w:leftChars="0"/>
        <w:rPr>
          <w:snapToGrid w:val="0"/>
          <w:color w:val="000000" w:themeColor="text1"/>
          <w:sz w:val="24"/>
          <w:szCs w:val="24"/>
          <w14:textFill>
            <w14:solidFill>
              <w14:schemeClr w14:val="tx1"/>
            </w14:solidFill>
          </w14:textFill>
        </w:rPr>
      </w:pPr>
      <w:r>
        <w:rPr>
          <w:rFonts w:hint="eastAsia"/>
          <w:snapToGrid w:val="0"/>
          <w:color w:val="000000" w:themeColor="text1"/>
          <w:spacing w:val="-5"/>
          <w:sz w:val="24"/>
          <w:szCs w:val="24"/>
          <w:lang w:val="en-US" w:eastAsia="zh-CN"/>
          <w14:textFill>
            <w14:solidFill>
              <w14:schemeClr w14:val="tx1"/>
            </w14:solidFill>
          </w14:textFill>
        </w:rPr>
        <w:t xml:space="preserve">5.3.2.6 </w:t>
      </w:r>
      <w:r>
        <w:rPr>
          <w:rFonts w:hint="eastAsia"/>
          <w:snapToGrid w:val="0"/>
          <w:color w:val="000000" w:themeColor="text1"/>
          <w:spacing w:val="-5"/>
          <w:sz w:val="24"/>
          <w:szCs w:val="24"/>
          <w14:textFill>
            <w14:solidFill>
              <w14:schemeClr w14:val="tx1"/>
            </w14:solidFill>
          </w14:textFill>
        </w:rPr>
        <w:t>生化</w:t>
      </w:r>
      <w:r>
        <w:rPr>
          <w:snapToGrid w:val="0"/>
          <w:color w:val="000000" w:themeColor="text1"/>
          <w:spacing w:val="-5"/>
          <w:sz w:val="24"/>
          <w:szCs w:val="24"/>
          <w14:textFill>
            <w14:solidFill>
              <w14:schemeClr w14:val="tx1"/>
            </w14:solidFill>
          </w14:textFill>
        </w:rPr>
        <w:t>恒温培养箱。</w:t>
      </w:r>
    </w:p>
    <w:p w14:paraId="17B166B0">
      <w:pPr>
        <w:pStyle w:val="20"/>
        <w:keepNext w:val="0"/>
        <w:keepLines w:val="0"/>
        <w:pageBreakBefore w:val="0"/>
        <w:numPr>
          <w:ilvl w:val="4"/>
          <w:numId w:val="0"/>
        </w:numPr>
        <w:wordWrap/>
        <w:overflowPunct/>
        <w:topLinePunct w:val="0"/>
        <w:bidi w:val="0"/>
        <w:adjustRightInd/>
        <w:spacing w:line="360" w:lineRule="auto"/>
        <w:ind w:leftChars="0"/>
        <w:rPr>
          <w:snapToGrid w:val="0"/>
          <w:color w:val="000000" w:themeColor="text1"/>
          <w:sz w:val="24"/>
          <w:szCs w:val="24"/>
          <w14:textFill>
            <w14:solidFill>
              <w14:schemeClr w14:val="tx1"/>
            </w14:solidFill>
          </w14:textFill>
        </w:rPr>
      </w:pPr>
      <w:r>
        <w:rPr>
          <w:rFonts w:hint="eastAsia"/>
          <w:snapToGrid w:val="0"/>
          <w:color w:val="000000" w:themeColor="text1"/>
          <w:spacing w:val="-3"/>
          <w:sz w:val="24"/>
          <w:szCs w:val="24"/>
          <w:lang w:val="en-US" w:eastAsia="zh-CN"/>
          <w14:textFill>
            <w14:solidFill>
              <w14:schemeClr w14:val="tx1"/>
            </w14:solidFill>
          </w14:textFill>
        </w:rPr>
        <w:t xml:space="preserve">5.3.2.7 </w:t>
      </w:r>
      <w:r>
        <w:rPr>
          <w:snapToGrid w:val="0"/>
          <w:color w:val="000000" w:themeColor="text1"/>
          <w:spacing w:val="-3"/>
          <w:sz w:val="24"/>
          <w:szCs w:val="24"/>
          <w14:textFill>
            <w14:solidFill>
              <w14:schemeClr w14:val="tx1"/>
            </w14:solidFill>
          </w14:textFill>
        </w:rPr>
        <w:t>分析天平，感量0.0001</w:t>
      </w:r>
      <w:r>
        <w:rPr>
          <w:snapToGrid w:val="0"/>
          <w:color w:val="000000" w:themeColor="text1"/>
          <w:spacing w:val="-41"/>
          <w:sz w:val="24"/>
          <w:szCs w:val="24"/>
          <w14:textFill>
            <w14:solidFill>
              <w14:schemeClr w14:val="tx1"/>
            </w14:solidFill>
          </w14:textFill>
        </w:rPr>
        <w:t xml:space="preserve"> </w:t>
      </w:r>
      <w:r>
        <w:rPr>
          <w:snapToGrid w:val="0"/>
          <w:color w:val="000000" w:themeColor="text1"/>
          <w:spacing w:val="-3"/>
          <w:sz w:val="24"/>
          <w:szCs w:val="24"/>
          <w14:textFill>
            <w14:solidFill>
              <w14:schemeClr w14:val="tx1"/>
            </w14:solidFill>
          </w14:textFill>
        </w:rPr>
        <w:t>g。</w:t>
      </w:r>
    </w:p>
    <w:p w14:paraId="0BBD1CEC">
      <w:pPr>
        <w:pStyle w:val="20"/>
        <w:keepNext w:val="0"/>
        <w:keepLines w:val="0"/>
        <w:pageBreakBefore w:val="0"/>
        <w:numPr>
          <w:ilvl w:val="4"/>
          <w:numId w:val="0"/>
        </w:numPr>
        <w:wordWrap/>
        <w:overflowPunct/>
        <w:topLinePunct w:val="0"/>
        <w:bidi w:val="0"/>
        <w:adjustRightInd/>
        <w:spacing w:line="360" w:lineRule="auto"/>
        <w:ind w:leftChars="0"/>
        <w:rPr>
          <w:snapToGrid w:val="0"/>
          <w:color w:val="000000" w:themeColor="text1"/>
          <w:sz w:val="24"/>
          <w:szCs w:val="24"/>
          <w14:textFill>
            <w14:solidFill>
              <w14:schemeClr w14:val="tx1"/>
            </w14:solidFill>
          </w14:textFill>
        </w:rPr>
      </w:pPr>
      <w:r>
        <w:rPr>
          <w:rFonts w:hint="eastAsia"/>
          <w:snapToGrid w:val="0"/>
          <w:color w:val="000000" w:themeColor="text1"/>
          <w:spacing w:val="1"/>
          <w:sz w:val="24"/>
          <w:szCs w:val="24"/>
          <w:lang w:val="en-US" w:eastAsia="zh-CN"/>
          <w14:textFill>
            <w14:solidFill>
              <w14:schemeClr w14:val="tx1"/>
            </w14:solidFill>
          </w14:textFill>
        </w:rPr>
        <w:t xml:space="preserve">5.3.2.8 </w:t>
      </w:r>
      <w:r>
        <w:rPr>
          <w:snapToGrid w:val="0"/>
          <w:color w:val="000000" w:themeColor="text1"/>
          <w:spacing w:val="1"/>
          <w:sz w:val="24"/>
          <w:szCs w:val="24"/>
          <w14:textFill>
            <w14:solidFill>
              <w14:schemeClr w14:val="tx1"/>
            </w14:solidFill>
          </w14:textFill>
        </w:rPr>
        <w:t>适合的培养容器（上直径≈8</w:t>
      </w:r>
      <w:r>
        <w:rPr>
          <w:snapToGrid w:val="0"/>
          <w:color w:val="000000" w:themeColor="text1"/>
          <w:spacing w:val="-52"/>
          <w:sz w:val="24"/>
          <w:szCs w:val="24"/>
          <w14:textFill>
            <w14:solidFill>
              <w14:schemeClr w14:val="tx1"/>
            </w14:solidFill>
          </w14:textFill>
        </w:rPr>
        <w:t xml:space="preserve"> </w:t>
      </w:r>
      <w:r>
        <w:rPr>
          <w:snapToGrid w:val="0"/>
          <w:color w:val="000000" w:themeColor="text1"/>
          <w:sz w:val="24"/>
          <w:szCs w:val="24"/>
          <w14:textFill>
            <w14:solidFill>
              <w14:schemeClr w14:val="tx1"/>
            </w14:solidFill>
          </w14:textFill>
        </w:rPr>
        <w:t>cm，</w:t>
      </w:r>
      <w:r>
        <w:rPr>
          <w:snapToGrid w:val="0"/>
          <w:color w:val="000000" w:themeColor="text1"/>
          <w:spacing w:val="1"/>
          <w:sz w:val="24"/>
          <w:szCs w:val="24"/>
          <w14:textFill>
            <w14:solidFill>
              <w14:schemeClr w14:val="tx1"/>
            </w14:solidFill>
          </w14:textFill>
        </w:rPr>
        <w:t>高≈7</w:t>
      </w:r>
      <w:r>
        <w:rPr>
          <w:snapToGrid w:val="0"/>
          <w:color w:val="000000" w:themeColor="text1"/>
          <w:spacing w:val="-42"/>
          <w:sz w:val="24"/>
          <w:szCs w:val="24"/>
          <w14:textFill>
            <w14:solidFill>
              <w14:schemeClr w14:val="tx1"/>
            </w14:solidFill>
          </w14:textFill>
        </w:rPr>
        <w:t xml:space="preserve"> </w:t>
      </w:r>
      <w:r>
        <w:rPr>
          <w:snapToGrid w:val="0"/>
          <w:color w:val="000000" w:themeColor="text1"/>
          <w:sz w:val="24"/>
          <w:szCs w:val="24"/>
          <w14:textFill>
            <w14:solidFill>
              <w14:schemeClr w14:val="tx1"/>
            </w14:solidFill>
          </w14:textFill>
        </w:rPr>
        <w:t>cm，</w:t>
      </w:r>
      <w:r>
        <w:rPr>
          <w:snapToGrid w:val="0"/>
          <w:color w:val="000000" w:themeColor="text1"/>
          <w:spacing w:val="1"/>
          <w:sz w:val="24"/>
          <w:szCs w:val="24"/>
          <w14:textFill>
            <w14:solidFill>
              <w14:schemeClr w14:val="tx1"/>
            </w14:solidFill>
          </w14:textFill>
        </w:rPr>
        <w:t>下直径≈6</w:t>
      </w:r>
      <w:r>
        <w:rPr>
          <w:snapToGrid w:val="0"/>
          <w:color w:val="000000" w:themeColor="text1"/>
          <w:spacing w:val="7"/>
          <w:sz w:val="24"/>
          <w:szCs w:val="24"/>
          <w14:textFill>
            <w14:solidFill>
              <w14:schemeClr w14:val="tx1"/>
            </w14:solidFill>
          </w14:textFill>
        </w:rPr>
        <w:t xml:space="preserve"> </w:t>
      </w:r>
      <w:r>
        <w:rPr>
          <w:snapToGrid w:val="0"/>
          <w:color w:val="000000" w:themeColor="text1"/>
          <w:sz w:val="24"/>
          <w:szCs w:val="24"/>
          <w14:textFill>
            <w14:solidFill>
              <w14:schemeClr w14:val="tx1"/>
            </w14:solidFill>
          </w14:textFill>
        </w:rPr>
        <w:t>cm）</w:t>
      </w:r>
      <w:r>
        <w:rPr>
          <w:snapToGrid w:val="0"/>
          <w:color w:val="000000" w:themeColor="text1"/>
          <w:spacing w:val="1"/>
          <w:sz w:val="24"/>
          <w:szCs w:val="24"/>
          <w14:textFill>
            <w14:solidFill>
              <w14:schemeClr w14:val="tx1"/>
            </w14:solidFill>
          </w14:textFill>
        </w:rPr>
        <w:t>。</w:t>
      </w:r>
    </w:p>
    <w:p w14:paraId="710B38F0">
      <w:pPr>
        <w:pStyle w:val="19"/>
        <w:keepNext w:val="0"/>
        <w:keepLines w:val="0"/>
        <w:pageBreakBefore w:val="0"/>
        <w:numPr>
          <w:ilvl w:val="3"/>
          <w:numId w:val="0"/>
        </w:numPr>
        <w:wordWrap/>
        <w:overflowPunct/>
        <w:topLinePunct w:val="0"/>
        <w:bidi w:val="0"/>
        <w:adjustRightInd/>
        <w:spacing w:before="156" w:after="156" w:line="360" w:lineRule="auto"/>
        <w:ind w:leftChars="0"/>
        <w:rPr>
          <w:b/>
          <w:bCs/>
          <w:color w:val="000000" w:themeColor="text1"/>
          <w:sz w:val="24"/>
          <w:szCs w:val="24"/>
          <w14:textFill>
            <w14:solidFill>
              <w14:schemeClr w14:val="tx1"/>
            </w14:solidFill>
          </w14:textFill>
        </w:rPr>
      </w:pPr>
      <w:bookmarkStart w:id="18" w:name="_Toc231994784"/>
      <w:r>
        <w:rPr>
          <w:rFonts w:hint="eastAsia"/>
          <w:b/>
          <w:bCs/>
          <w:color w:val="000000" w:themeColor="text1"/>
          <w:sz w:val="24"/>
          <w:szCs w:val="24"/>
          <w:lang w:val="en-US" w:eastAsia="zh-CN"/>
          <w14:textFill>
            <w14:solidFill>
              <w14:schemeClr w14:val="tx1"/>
            </w14:solidFill>
          </w14:textFill>
        </w:rPr>
        <w:t>5.3.3</w:t>
      </w:r>
      <w:r>
        <w:rPr>
          <w:rFonts w:hint="eastAsia"/>
          <w:b/>
          <w:bCs/>
          <w:color w:val="000000" w:themeColor="text1"/>
          <w:sz w:val="24"/>
          <w:szCs w:val="24"/>
          <w14:textFill>
            <w14:solidFill>
              <w14:schemeClr w14:val="tx1"/>
            </w14:solidFill>
          </w14:textFill>
        </w:rPr>
        <w:t>样品</w:t>
      </w:r>
      <w:bookmarkEnd w:id="18"/>
    </w:p>
    <w:p w14:paraId="569439A9">
      <w:pPr>
        <w:pStyle w:val="20"/>
        <w:keepNext w:val="0"/>
        <w:keepLines w:val="0"/>
        <w:pageBreakBefore w:val="0"/>
        <w:numPr>
          <w:ilvl w:val="4"/>
          <w:numId w:val="0"/>
        </w:numPr>
        <w:wordWrap/>
        <w:overflowPunct/>
        <w:topLinePunct w:val="0"/>
        <w:bidi w:val="0"/>
        <w:adjustRightInd/>
        <w:spacing w:line="360" w:lineRule="auto"/>
        <w:rPr>
          <w:snapToGrid w:val="0"/>
          <w:color w:val="000000" w:themeColor="text1"/>
          <w:sz w:val="24"/>
          <w:szCs w:val="24"/>
          <w14:textFill>
            <w14:solidFill>
              <w14:schemeClr w14:val="tx1"/>
            </w14:solidFill>
          </w14:textFill>
        </w:rPr>
      </w:pPr>
      <w:r>
        <w:rPr>
          <w:rFonts w:hint="eastAsia"/>
          <w:snapToGrid w:val="0"/>
          <w:color w:val="000000" w:themeColor="text1"/>
          <w:sz w:val="24"/>
          <w:szCs w:val="24"/>
          <w14:textFill>
            <w14:solidFill>
              <w14:schemeClr w14:val="tx1"/>
            </w14:solidFill>
          </w14:textFill>
        </w:rPr>
        <w:t xml:space="preserve">  同5.2.4。</w:t>
      </w:r>
    </w:p>
    <w:p w14:paraId="0F74E695">
      <w:pPr>
        <w:pStyle w:val="19"/>
        <w:keepNext w:val="0"/>
        <w:keepLines w:val="0"/>
        <w:pageBreakBefore w:val="0"/>
        <w:numPr>
          <w:ilvl w:val="3"/>
          <w:numId w:val="0"/>
        </w:numPr>
        <w:wordWrap/>
        <w:overflowPunct/>
        <w:topLinePunct w:val="0"/>
        <w:bidi w:val="0"/>
        <w:adjustRightInd/>
        <w:spacing w:before="156" w:after="156" w:line="360" w:lineRule="auto"/>
        <w:ind w:leftChars="0"/>
        <w:rPr>
          <w:b/>
          <w:bCs/>
          <w:color w:val="000000" w:themeColor="text1"/>
          <w:sz w:val="24"/>
          <w:szCs w:val="24"/>
          <w14:textFill>
            <w14:solidFill>
              <w14:schemeClr w14:val="tx1"/>
            </w14:solidFill>
          </w14:textFill>
        </w:rPr>
      </w:pPr>
      <w:bookmarkStart w:id="19" w:name="_Toc231994785"/>
      <w:r>
        <w:rPr>
          <w:rFonts w:hint="eastAsia"/>
          <w:b/>
          <w:bCs/>
          <w:color w:val="000000" w:themeColor="text1"/>
          <w:sz w:val="24"/>
          <w:szCs w:val="24"/>
          <w:lang w:val="en-US" w:eastAsia="zh-CN"/>
          <w14:textFill>
            <w14:solidFill>
              <w14:schemeClr w14:val="tx1"/>
            </w14:solidFill>
          </w14:textFill>
        </w:rPr>
        <w:t>5.3.4</w:t>
      </w:r>
      <w:r>
        <w:rPr>
          <w:b/>
          <w:bCs/>
          <w:color w:val="000000" w:themeColor="text1"/>
          <w:sz w:val="24"/>
          <w:szCs w:val="24"/>
          <w14:textFill>
            <w14:solidFill>
              <w14:schemeClr w14:val="tx1"/>
            </w14:solidFill>
          </w14:textFill>
        </w:rPr>
        <w:t>试剂和材料</w:t>
      </w:r>
      <w:bookmarkEnd w:id="19"/>
    </w:p>
    <w:p w14:paraId="60C1F1B7">
      <w:pPr>
        <w:pStyle w:val="20"/>
        <w:keepNext w:val="0"/>
        <w:keepLines w:val="0"/>
        <w:pageBreakBefore w:val="0"/>
        <w:numPr>
          <w:ilvl w:val="4"/>
          <w:numId w:val="0"/>
        </w:numPr>
        <w:wordWrap/>
        <w:overflowPunct/>
        <w:topLinePunct w:val="0"/>
        <w:bidi w:val="0"/>
        <w:adjustRightInd/>
        <w:spacing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5.3.4.1 </w:t>
      </w:r>
      <w:r>
        <w:rPr>
          <w:rFonts w:hint="eastAsia"/>
          <w:color w:val="000000" w:themeColor="text1"/>
          <w:sz w:val="24"/>
          <w:szCs w:val="24"/>
          <w14:textFill>
            <w14:solidFill>
              <w14:schemeClr w14:val="tx1"/>
            </w14:solidFill>
          </w14:textFill>
        </w:rPr>
        <w:t>对照样品：根据肥料样品测定出来的总氮含量、尿素含量，准确配制对应肥料样品的对照样品。对照样品的配制方案参见附录A中对照样品称取方法示例</w:t>
      </w:r>
      <w:r>
        <w:rPr>
          <w:rFonts w:hint="eastAsia"/>
          <w:color w:val="000000" w:themeColor="text1"/>
          <w:sz w:val="24"/>
          <w:szCs w:val="24"/>
          <w:lang w:val="en-US" w:eastAsia="zh-CN"/>
          <w14:textFill>
            <w14:solidFill>
              <w14:schemeClr w14:val="tx1"/>
            </w14:solidFill>
          </w14:textFill>
        </w:rPr>
        <w:t>A.3</w:t>
      </w:r>
      <w:r>
        <w:rPr>
          <w:rFonts w:hint="eastAsia"/>
          <w:color w:val="000000" w:themeColor="text1"/>
          <w:sz w:val="24"/>
          <w:szCs w:val="24"/>
          <w:lang w:eastAsia="zh-CN"/>
          <w14:textFill>
            <w14:solidFill>
              <w14:schemeClr w14:val="tx1"/>
            </w14:solidFill>
          </w14:textFill>
        </w:rPr>
        <w:t>和</w:t>
      </w:r>
      <w:r>
        <w:rPr>
          <w:rFonts w:hint="eastAsia"/>
          <w:color w:val="000000" w:themeColor="text1"/>
          <w:sz w:val="24"/>
          <w:szCs w:val="24"/>
          <w:lang w:val="en-US" w:eastAsia="zh-CN"/>
          <w14:textFill>
            <w14:solidFill>
              <w14:schemeClr w14:val="tx1"/>
            </w14:solidFill>
          </w14:textFill>
        </w:rPr>
        <w:t>A.4。</w:t>
      </w:r>
    </w:p>
    <w:p w14:paraId="7AF2B287">
      <w:pPr>
        <w:pStyle w:val="20"/>
        <w:keepNext w:val="0"/>
        <w:keepLines w:val="0"/>
        <w:pageBreakBefore w:val="0"/>
        <w:numPr>
          <w:ilvl w:val="4"/>
          <w:numId w:val="0"/>
        </w:numPr>
        <w:wordWrap/>
        <w:overflowPunct/>
        <w:topLinePunct w:val="0"/>
        <w:bidi w:val="0"/>
        <w:adjustRightInd/>
        <w:spacing w:line="360" w:lineRule="auto"/>
        <w:ind w:leftChars="0"/>
        <w:rPr>
          <w:rFonts w:ascii="Times New Roman"/>
          <w:snapToGrid w:val="0"/>
          <w:color w:val="000000" w:themeColor="text1"/>
          <w:spacing w:val="-3"/>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5.3.4.2 </w:t>
      </w:r>
      <w:r>
        <w:rPr>
          <w:color w:val="000000" w:themeColor="text1"/>
          <w:sz w:val="24"/>
          <w:szCs w:val="24"/>
          <w14:textFill>
            <w14:solidFill>
              <w14:schemeClr w14:val="tx1"/>
            </w14:solidFill>
          </w14:textFill>
        </w:rPr>
        <w:t>肥料工作溶液：</w:t>
      </w:r>
      <w:r>
        <w:rPr>
          <w:rFonts w:hint="eastAsia"/>
          <w:color w:val="000000" w:themeColor="text1"/>
          <w:sz w:val="24"/>
          <w:szCs w:val="24"/>
          <w14:textFill>
            <w14:solidFill>
              <w14:schemeClr w14:val="tx1"/>
            </w14:solidFill>
          </w14:textFill>
        </w:rPr>
        <w:t>称取对应质量的肥料样品及其对照样品</w:t>
      </w:r>
      <w:r>
        <w:rPr>
          <w:color w:val="000000" w:themeColor="text1"/>
          <w:sz w:val="24"/>
          <w:szCs w:val="24"/>
          <w14:textFill>
            <w14:solidFill>
              <w14:schemeClr w14:val="tx1"/>
            </w14:solidFill>
          </w14:textFill>
        </w:rPr>
        <w:t>，溶解后定容于1000</w:t>
      </w:r>
      <w:r>
        <w:rPr>
          <w:rFonts w:hint="eastAsia"/>
          <w:color w:val="000000" w:themeColor="text1"/>
          <w:sz w:val="24"/>
          <w:szCs w:val="24"/>
          <w14:textFill>
            <w14:solidFill>
              <w14:schemeClr w14:val="tx1"/>
            </w14:solidFill>
          </w14:textFill>
        </w:rPr>
        <w:t xml:space="preserve"> </w:t>
      </w:r>
      <w:r>
        <w:rPr>
          <w:color w:val="000000" w:themeColor="text1"/>
          <w:sz w:val="24"/>
          <w:szCs w:val="24"/>
          <w14:textFill>
            <w14:solidFill>
              <w14:schemeClr w14:val="tx1"/>
            </w14:solidFill>
          </w14:textFill>
        </w:rPr>
        <w:t>m</w:t>
      </w:r>
      <w:r>
        <w:rPr>
          <w:rFonts w:hint="eastAsia"/>
          <w:color w:val="000000" w:themeColor="text1"/>
          <w:sz w:val="24"/>
          <w:szCs w:val="24"/>
          <w:lang w:val="en-US" w:eastAsia="zh-CN"/>
          <w14:textFill>
            <w14:solidFill>
              <w14:schemeClr w14:val="tx1"/>
            </w14:solidFill>
          </w14:textFill>
        </w:rPr>
        <w:t>L</w:t>
      </w:r>
      <w:r>
        <w:rPr>
          <w:color w:val="000000" w:themeColor="text1"/>
          <w:sz w:val="24"/>
          <w:szCs w:val="24"/>
          <w14:textFill>
            <w14:solidFill>
              <w14:schemeClr w14:val="tx1"/>
            </w14:solidFill>
          </w14:textFill>
        </w:rPr>
        <w:t>容量瓶中</w:t>
      </w:r>
      <w:r>
        <w:rPr>
          <w:rFonts w:hint="eastAsia"/>
          <w:color w:val="000000" w:themeColor="text1"/>
          <w:sz w:val="24"/>
          <w:szCs w:val="24"/>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混匀，</w:t>
      </w:r>
      <w:r>
        <w:rPr>
          <w:rFonts w:hint="eastAsia"/>
          <w:color w:val="000000" w:themeColor="text1"/>
          <w:sz w:val="24"/>
          <w:szCs w:val="24"/>
          <w14:textFill>
            <w14:solidFill>
              <w14:schemeClr w14:val="tx1"/>
            </w14:solidFill>
          </w14:textFill>
        </w:rPr>
        <w:t>获得含1.4 g N/L的肥料工作溶液。磷酸二氢钾溶液（0.2 mol/L）：称取 27.20 g 分析纯的磷酸二氢钾，用蒸馏水溶解，定容至1L</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混匀</w:t>
      </w:r>
      <w:r>
        <w:rPr>
          <w:rFonts w:hint="eastAsia"/>
          <w:color w:val="000000" w:themeColor="text1"/>
          <w:sz w:val="24"/>
          <w:szCs w:val="24"/>
          <w14:textFill>
            <w14:solidFill>
              <w14:schemeClr w14:val="tx1"/>
            </w14:solidFill>
          </w14:textFill>
        </w:rPr>
        <w:t>。</w:t>
      </w:r>
    </w:p>
    <w:p w14:paraId="4BB7F115">
      <w:pPr>
        <w:pStyle w:val="20"/>
        <w:keepNext w:val="0"/>
        <w:keepLines w:val="0"/>
        <w:pageBreakBefore w:val="0"/>
        <w:numPr>
          <w:ilvl w:val="4"/>
          <w:numId w:val="0"/>
        </w:numPr>
        <w:wordWrap/>
        <w:overflowPunct/>
        <w:topLinePunct w:val="0"/>
        <w:bidi w:val="0"/>
        <w:adjustRightInd/>
        <w:spacing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5.3.4.3 </w:t>
      </w:r>
      <w:r>
        <w:rPr>
          <w:rFonts w:hint="eastAsia"/>
          <w:color w:val="000000" w:themeColor="text1"/>
          <w:sz w:val="24"/>
          <w:szCs w:val="24"/>
          <w14:textFill>
            <w14:solidFill>
              <w14:schemeClr w14:val="tx1"/>
            </w14:solidFill>
          </w14:textFill>
        </w:rPr>
        <w:t>磷酸氢二钾溶液（0.2 mol/L）：称取 34.80 g 分析纯的磷酸氢二钾，用蒸馏水溶解，定容至1L</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混匀</w:t>
      </w:r>
      <w:r>
        <w:rPr>
          <w:rFonts w:hint="eastAsia"/>
          <w:color w:val="000000" w:themeColor="text1"/>
          <w:sz w:val="24"/>
          <w:szCs w:val="24"/>
          <w14:textFill>
            <w14:solidFill>
              <w14:schemeClr w14:val="tx1"/>
            </w14:solidFill>
          </w14:textFill>
        </w:rPr>
        <w:t>。</w:t>
      </w:r>
    </w:p>
    <w:p w14:paraId="6AA89F33">
      <w:pPr>
        <w:pStyle w:val="20"/>
        <w:keepNext w:val="0"/>
        <w:keepLines w:val="0"/>
        <w:pageBreakBefore w:val="0"/>
        <w:numPr>
          <w:ilvl w:val="4"/>
          <w:numId w:val="0"/>
        </w:numPr>
        <w:wordWrap/>
        <w:overflowPunct/>
        <w:topLinePunct w:val="0"/>
        <w:bidi w:val="0"/>
        <w:adjustRightInd/>
        <w:spacing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5.3.4.4 </w:t>
      </w:r>
      <w:r>
        <w:rPr>
          <w:rFonts w:hint="eastAsia"/>
          <w:color w:val="000000" w:themeColor="text1"/>
          <w:sz w:val="24"/>
          <w:szCs w:val="24"/>
          <w14:textFill>
            <w14:solidFill>
              <w14:schemeClr w14:val="tx1"/>
            </w14:solidFill>
          </w14:textFill>
        </w:rPr>
        <w:t>贮备液A：量取28 mL磷酸二氢钾溶液（5.</w:t>
      </w:r>
      <w:r>
        <w:rPr>
          <w:color w:val="000000" w:themeColor="text1"/>
          <w:sz w:val="24"/>
          <w:szCs w:val="24"/>
          <w14:textFill>
            <w14:solidFill>
              <w14:schemeClr w14:val="tx1"/>
            </w14:solidFill>
          </w14:textFill>
        </w:rPr>
        <w:t>3</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4</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3</w:t>
      </w:r>
      <w:r>
        <w:rPr>
          <w:rFonts w:hint="eastAsia"/>
          <w:color w:val="000000" w:themeColor="text1"/>
          <w:sz w:val="24"/>
          <w:szCs w:val="24"/>
          <w14:textFill>
            <w14:solidFill>
              <w14:schemeClr w14:val="tx1"/>
            </w14:solidFill>
          </w14:textFill>
        </w:rPr>
        <w:t>）和72 m</w:t>
      </w:r>
      <w:r>
        <w:rPr>
          <w:rFonts w:hint="eastAsia"/>
          <w:color w:val="000000" w:themeColor="text1"/>
          <w:sz w:val="24"/>
          <w:szCs w:val="24"/>
          <w:lang w:val="en-US" w:eastAsia="zh-CN"/>
          <w14:textFill>
            <w14:solidFill>
              <w14:schemeClr w14:val="tx1"/>
            </w14:solidFill>
          </w14:textFill>
        </w:rPr>
        <w:t>L</w:t>
      </w:r>
      <w:r>
        <w:rPr>
          <w:rFonts w:hint="eastAsia"/>
          <w:color w:val="000000" w:themeColor="text1"/>
          <w:sz w:val="24"/>
          <w:szCs w:val="24"/>
          <w14:textFill>
            <w14:solidFill>
              <w14:schemeClr w14:val="tx1"/>
            </w14:solidFill>
          </w14:textFill>
        </w:rPr>
        <w:t>磷酸氢二钾溶液（</w:t>
      </w:r>
      <w:r>
        <w:rPr>
          <w:color w:val="000000" w:themeColor="text1"/>
          <w:sz w:val="24"/>
          <w:szCs w:val="24"/>
          <w14:textFill>
            <w14:solidFill>
              <w14:schemeClr w14:val="tx1"/>
            </w14:solidFill>
          </w14:textFill>
        </w:rPr>
        <w:t>5</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3</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4</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4</w:t>
      </w:r>
      <w:r>
        <w:rPr>
          <w:rFonts w:hint="eastAsia"/>
          <w:color w:val="000000" w:themeColor="text1"/>
          <w:sz w:val="24"/>
          <w:szCs w:val="24"/>
          <w14:textFill>
            <w14:solidFill>
              <w14:schemeClr w14:val="tx1"/>
            </w14:solidFill>
          </w14:textFill>
        </w:rPr>
        <w:t>）至烧杯中，再加100 mL蒸馏水混匀。</w:t>
      </w:r>
    </w:p>
    <w:p w14:paraId="61F048EF">
      <w:pPr>
        <w:pStyle w:val="20"/>
        <w:keepNext w:val="0"/>
        <w:keepLines w:val="0"/>
        <w:pageBreakBefore w:val="0"/>
        <w:numPr>
          <w:ilvl w:val="4"/>
          <w:numId w:val="0"/>
        </w:numPr>
        <w:wordWrap/>
        <w:overflowPunct/>
        <w:topLinePunct w:val="0"/>
        <w:bidi w:val="0"/>
        <w:adjustRightInd/>
        <w:spacing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5.3.4.5 </w:t>
      </w:r>
      <w:r>
        <w:rPr>
          <w:rFonts w:hint="eastAsia"/>
          <w:color w:val="000000" w:themeColor="text1"/>
          <w:sz w:val="24"/>
          <w:szCs w:val="24"/>
          <w14:textFill>
            <w14:solidFill>
              <w14:schemeClr w14:val="tx1"/>
            </w14:solidFill>
          </w14:textFill>
        </w:rPr>
        <w:t>氯酸钠溶液（0.5 mol/L）：称取5.322 g 分析纯氯酸钠，用蒸馏水稀释定容至 100 mL</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混匀</w:t>
      </w:r>
      <w:r>
        <w:rPr>
          <w:rFonts w:hint="eastAsia"/>
          <w:color w:val="000000" w:themeColor="text1"/>
          <w:sz w:val="24"/>
          <w:szCs w:val="24"/>
          <w14:textFill>
            <w14:solidFill>
              <w14:schemeClr w14:val="tx1"/>
            </w14:solidFill>
          </w14:textFill>
        </w:rPr>
        <w:t>。</w:t>
      </w:r>
    </w:p>
    <w:p w14:paraId="5A2AD7C2">
      <w:pPr>
        <w:pStyle w:val="20"/>
        <w:keepNext w:val="0"/>
        <w:keepLines w:val="0"/>
        <w:pageBreakBefore w:val="0"/>
        <w:numPr>
          <w:ilvl w:val="4"/>
          <w:numId w:val="0"/>
        </w:numPr>
        <w:wordWrap/>
        <w:overflowPunct/>
        <w:topLinePunct w:val="0"/>
        <w:bidi w:val="0"/>
        <w:adjustRightInd/>
        <w:spacing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5.3.4.6 </w:t>
      </w:r>
      <w:r>
        <w:rPr>
          <w:rFonts w:hint="eastAsia"/>
          <w:color w:val="000000" w:themeColor="text1"/>
          <w:sz w:val="24"/>
          <w:szCs w:val="24"/>
          <w14:textFill>
            <w14:solidFill>
              <w14:schemeClr w14:val="tx1"/>
            </w14:solidFill>
          </w14:textFill>
        </w:rPr>
        <w:t>培养介质溶液：量取贮备液A 10</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m</w:t>
      </w:r>
      <w:r>
        <w:rPr>
          <w:rFonts w:hint="eastAsia"/>
          <w:color w:val="000000" w:themeColor="text1"/>
          <w:sz w:val="24"/>
          <w:szCs w:val="24"/>
          <w:lang w:val="en-US" w:eastAsia="zh-CN"/>
          <w14:textFill>
            <w14:solidFill>
              <w14:schemeClr w14:val="tx1"/>
            </w14:solidFill>
          </w14:textFill>
        </w:rPr>
        <w:t>L</w:t>
      </w:r>
      <w:r>
        <w:rPr>
          <w:rFonts w:hint="eastAsia"/>
          <w:color w:val="000000" w:themeColor="text1"/>
          <w:sz w:val="24"/>
          <w:szCs w:val="24"/>
          <w14:textFill>
            <w14:solidFill>
              <w14:schemeClr w14:val="tx1"/>
            </w14:solidFill>
          </w14:textFill>
        </w:rPr>
        <w:t>和氯酸钠溶液10-30 m</w:t>
      </w:r>
      <w:r>
        <w:rPr>
          <w:rFonts w:hint="eastAsia"/>
          <w:color w:val="000000" w:themeColor="text1"/>
          <w:sz w:val="24"/>
          <w:szCs w:val="24"/>
          <w:lang w:val="en-US" w:eastAsia="zh-CN"/>
          <w14:textFill>
            <w14:solidFill>
              <w14:schemeClr w14:val="tx1"/>
            </w14:solidFill>
          </w14:textFill>
        </w:rPr>
        <w:t>L</w:t>
      </w:r>
      <w:r>
        <w:rPr>
          <w:rFonts w:hint="eastAsia"/>
          <w:color w:val="000000" w:themeColor="text1"/>
          <w:sz w:val="24"/>
          <w:szCs w:val="24"/>
          <w14:textFill>
            <w14:solidFill>
              <w14:schemeClr w14:val="tx1"/>
            </w14:solidFill>
          </w14:textFill>
        </w:rPr>
        <w:t>，溶解于800 m</w:t>
      </w:r>
      <w:r>
        <w:rPr>
          <w:rFonts w:hint="eastAsia"/>
          <w:color w:val="000000" w:themeColor="text1"/>
          <w:sz w:val="24"/>
          <w:szCs w:val="24"/>
          <w:lang w:val="en-US" w:eastAsia="zh-CN"/>
          <w14:textFill>
            <w14:solidFill>
              <w14:schemeClr w14:val="tx1"/>
            </w14:solidFill>
          </w14:textFill>
        </w:rPr>
        <w:t>L</w:t>
      </w:r>
      <w:r>
        <w:rPr>
          <w:rFonts w:hint="eastAsia"/>
          <w:color w:val="000000" w:themeColor="text1"/>
          <w:sz w:val="24"/>
          <w:szCs w:val="24"/>
          <w14:textFill>
            <w14:solidFill>
              <w14:schemeClr w14:val="tx1"/>
            </w14:solidFill>
          </w14:textFill>
        </w:rPr>
        <w:t>水中，加入30 mL肥料工作液，再用蒸馏水定容至1 L</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混匀</w:t>
      </w:r>
      <w:r>
        <w:rPr>
          <w:rFonts w:hint="eastAsia"/>
          <w:color w:val="000000" w:themeColor="text1"/>
          <w:sz w:val="24"/>
          <w:szCs w:val="24"/>
          <w14:textFill>
            <w14:solidFill>
              <w14:schemeClr w14:val="tx1"/>
            </w14:solidFill>
          </w14:textFill>
        </w:rPr>
        <w:t>。该培养介质包含1mmol/L的磷酸钾缓冲溶液、5-15 mmol/L的氯酸钠溶液和42 mg /L的氮溶液。同时配置不含肥料工作溶液的空白介质溶液。</w:t>
      </w:r>
    </w:p>
    <w:p w14:paraId="38A40CA3">
      <w:pPr>
        <w:pStyle w:val="20"/>
        <w:keepNext w:val="0"/>
        <w:keepLines w:val="0"/>
        <w:pageBreakBefore w:val="0"/>
        <w:numPr>
          <w:ilvl w:val="4"/>
          <w:numId w:val="0"/>
        </w:numPr>
        <w:wordWrap/>
        <w:overflowPunct/>
        <w:topLinePunct w:val="0"/>
        <w:bidi w:val="0"/>
        <w:adjustRightInd/>
        <w:spacing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5.3.4.7 </w:t>
      </w:r>
      <w:r>
        <w:rPr>
          <w:rFonts w:hint="eastAsia"/>
          <w:color w:val="000000" w:themeColor="text1"/>
          <w:sz w:val="24"/>
          <w:szCs w:val="24"/>
          <w14:textFill>
            <w14:solidFill>
              <w14:schemeClr w14:val="tx1"/>
            </w14:solidFill>
          </w14:textFill>
        </w:rPr>
        <w:t>氯化钾溶液（2 mol/L）：称取149.1 g 分析纯氯化钾, 用蒸馏水稀释定容至 1 L</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混匀</w:t>
      </w:r>
      <w:r>
        <w:rPr>
          <w:rFonts w:hint="eastAsia"/>
          <w:color w:val="000000" w:themeColor="text1"/>
          <w:sz w:val="24"/>
          <w:szCs w:val="24"/>
          <w14:textFill>
            <w14:solidFill>
              <w14:schemeClr w14:val="tx1"/>
            </w14:solidFill>
          </w14:textFill>
        </w:rPr>
        <w:t>。</w:t>
      </w:r>
    </w:p>
    <w:p w14:paraId="088596EB">
      <w:pPr>
        <w:pStyle w:val="20"/>
        <w:keepNext w:val="0"/>
        <w:keepLines w:val="0"/>
        <w:pageBreakBefore w:val="0"/>
        <w:numPr>
          <w:ilvl w:val="4"/>
          <w:numId w:val="0"/>
        </w:numPr>
        <w:wordWrap/>
        <w:overflowPunct/>
        <w:topLinePunct w:val="0"/>
        <w:bidi w:val="0"/>
        <w:adjustRightInd/>
        <w:spacing w:line="360" w:lineRule="auto"/>
        <w:ind w:leftChars="0"/>
        <w:rPr>
          <w:color w:val="000000" w:themeColor="text1"/>
          <w:sz w:val="24"/>
          <w:szCs w:val="24"/>
          <w14:textFill>
            <w14:solidFill>
              <w14:schemeClr w14:val="tx1"/>
            </w14:solidFill>
          </w14:textFill>
        </w:rPr>
      </w:pPr>
      <w:r>
        <w:rPr>
          <w:rFonts w:hint="eastAsia" w:hAnsi="宋体" w:cs="宋体"/>
          <w:color w:val="000000" w:themeColor="text1"/>
          <w:spacing w:val="-6"/>
          <w:sz w:val="24"/>
          <w:szCs w:val="24"/>
          <w:lang w:val="en-US" w:eastAsia="zh-CN"/>
          <w14:textFill>
            <w14:solidFill>
              <w14:schemeClr w14:val="tx1"/>
            </w14:solidFill>
          </w14:textFill>
        </w:rPr>
        <w:t xml:space="preserve">5.3.4.8 </w:t>
      </w:r>
      <w:r>
        <w:rPr>
          <w:rFonts w:hint="eastAsia" w:hAnsi="宋体" w:cs="宋体"/>
          <w:color w:val="000000" w:themeColor="text1"/>
          <w:spacing w:val="-6"/>
          <w:sz w:val="24"/>
          <w:szCs w:val="24"/>
          <w14:textFill>
            <w14:solidFill>
              <w14:schemeClr w14:val="tx1"/>
            </w14:solidFill>
          </w14:textFill>
        </w:rPr>
        <w:t>亚硝态氮标准</w:t>
      </w:r>
      <w:r>
        <w:rPr>
          <w:rFonts w:hint="eastAsia" w:hAnsi="宋体" w:cs="宋体"/>
          <w:color w:val="000000" w:themeColor="text1"/>
          <w:kern w:val="2"/>
          <w:sz w:val="24"/>
          <w:szCs w:val="24"/>
          <w14:textFill>
            <w14:solidFill>
              <w14:schemeClr w14:val="tx1"/>
            </w14:solidFill>
          </w14:textFill>
        </w:rPr>
        <w:t>贮备</w:t>
      </w:r>
      <w:r>
        <w:rPr>
          <w:rFonts w:hint="eastAsia" w:hAnsi="宋体" w:cs="宋体"/>
          <w:color w:val="000000" w:themeColor="text1"/>
          <w:spacing w:val="-6"/>
          <w:sz w:val="24"/>
          <w:szCs w:val="24"/>
          <w14:textFill>
            <w14:solidFill>
              <w14:schemeClr w14:val="tx1"/>
            </w14:solidFill>
          </w14:textFill>
        </w:rPr>
        <w:t>溶液（</w:t>
      </w:r>
      <w:r>
        <w:rPr>
          <w:rFonts w:ascii="Times New Roman"/>
          <w:color w:val="000000" w:themeColor="text1"/>
          <w:spacing w:val="-6"/>
          <w:sz w:val="24"/>
          <w:szCs w:val="24"/>
          <w14:textFill>
            <w14:solidFill>
              <w14:schemeClr w14:val="tx1"/>
            </w14:solidFill>
          </w14:textFill>
        </w:rPr>
        <w:t>1</w:t>
      </w:r>
      <w:r>
        <w:rPr>
          <w:rFonts w:hint="eastAsia" w:ascii="Times New Roman"/>
          <w:color w:val="000000" w:themeColor="text1"/>
          <w:spacing w:val="-6"/>
          <w:sz w:val="24"/>
          <w:szCs w:val="24"/>
          <w14:textFill>
            <w14:solidFill>
              <w14:schemeClr w14:val="tx1"/>
            </w14:solidFill>
          </w14:textFill>
        </w:rPr>
        <w:t xml:space="preserve"> </w:t>
      </w:r>
      <w:r>
        <w:rPr>
          <w:rFonts w:ascii="Times New Roman"/>
          <w:color w:val="000000" w:themeColor="text1"/>
          <w:spacing w:val="-6"/>
          <w:sz w:val="24"/>
          <w:szCs w:val="24"/>
          <w14:textFill>
            <w14:solidFill>
              <w14:schemeClr w14:val="tx1"/>
            </w14:solidFill>
          </w14:textFill>
        </w:rPr>
        <w:t>g/L</w:t>
      </w:r>
      <w:r>
        <w:rPr>
          <w:rFonts w:hint="eastAsia" w:hAnsi="宋体" w:cs="宋体"/>
          <w:color w:val="000000" w:themeColor="text1"/>
          <w:spacing w:val="-6"/>
          <w:sz w:val="24"/>
          <w:szCs w:val="24"/>
          <w14:textFill>
            <w14:solidFill>
              <w14:schemeClr w14:val="tx1"/>
            </w14:solidFill>
          </w14:textFill>
        </w:rPr>
        <w:t>）：称取</w:t>
      </w:r>
      <w:r>
        <w:rPr>
          <w:rFonts w:ascii="Times New Roman"/>
          <w:color w:val="000000" w:themeColor="text1"/>
          <w:spacing w:val="-6"/>
          <w:sz w:val="24"/>
          <w:szCs w:val="24"/>
          <w14:textFill>
            <w14:solidFill>
              <w14:schemeClr w14:val="tx1"/>
            </w14:solidFill>
          </w14:textFill>
        </w:rPr>
        <w:t>0.4926</w:t>
      </w:r>
      <w:r>
        <w:rPr>
          <w:rFonts w:hint="eastAsia" w:ascii="Times New Roman"/>
          <w:color w:val="000000" w:themeColor="text1"/>
          <w:spacing w:val="-6"/>
          <w:sz w:val="24"/>
          <w:szCs w:val="24"/>
          <w:lang w:val="en-US" w:eastAsia="zh-CN"/>
          <w14:textFill>
            <w14:solidFill>
              <w14:schemeClr w14:val="tx1"/>
            </w14:solidFill>
          </w14:textFill>
        </w:rPr>
        <w:t xml:space="preserve"> </w:t>
      </w:r>
      <w:r>
        <w:rPr>
          <w:rFonts w:ascii="Times New Roman"/>
          <w:color w:val="000000" w:themeColor="text1"/>
          <w:spacing w:val="-6"/>
          <w:sz w:val="24"/>
          <w:szCs w:val="24"/>
          <w14:textFill>
            <w14:solidFill>
              <w14:schemeClr w14:val="tx1"/>
            </w14:solidFill>
          </w14:textFill>
        </w:rPr>
        <w:t xml:space="preserve">g </w:t>
      </w:r>
      <w:r>
        <w:rPr>
          <w:rFonts w:hint="eastAsia" w:hAnsi="宋体" w:cs="宋体"/>
          <w:color w:val="000000" w:themeColor="text1"/>
          <w:spacing w:val="-6"/>
          <w:sz w:val="24"/>
          <w:szCs w:val="24"/>
          <w14:textFill>
            <w14:solidFill>
              <w14:schemeClr w14:val="tx1"/>
            </w14:solidFill>
          </w14:textFill>
        </w:rPr>
        <w:t>亚硝酸钠（分析纯）溶解于</w:t>
      </w:r>
      <w:r>
        <w:rPr>
          <w:rFonts w:ascii="Times New Roman"/>
          <w:color w:val="000000" w:themeColor="text1"/>
          <w:spacing w:val="-6"/>
          <w:sz w:val="24"/>
          <w:szCs w:val="24"/>
          <w14:textFill>
            <w14:solidFill>
              <w14:schemeClr w14:val="tx1"/>
            </w14:solidFill>
          </w14:textFill>
        </w:rPr>
        <w:t>50 mL</w:t>
      </w:r>
      <w:r>
        <w:rPr>
          <w:rFonts w:hint="eastAsia" w:hAnsi="宋体" w:cs="宋体"/>
          <w:color w:val="000000" w:themeColor="text1"/>
          <w:spacing w:val="-6"/>
          <w:sz w:val="24"/>
          <w:szCs w:val="24"/>
          <w14:textFill>
            <w14:solidFill>
              <w14:schemeClr w14:val="tx1"/>
            </w14:solidFill>
          </w14:textFill>
        </w:rPr>
        <w:t>水中，定容至</w:t>
      </w:r>
      <w:r>
        <w:rPr>
          <w:rFonts w:ascii="Times New Roman"/>
          <w:color w:val="000000" w:themeColor="text1"/>
          <w:spacing w:val="-6"/>
          <w:sz w:val="24"/>
          <w:szCs w:val="24"/>
          <w14:textFill>
            <w14:solidFill>
              <w14:schemeClr w14:val="tx1"/>
            </w14:solidFill>
          </w14:textFill>
        </w:rPr>
        <w:t>100 m</w:t>
      </w:r>
      <w:r>
        <w:rPr>
          <w:rFonts w:hint="eastAsia" w:ascii="Times New Roman"/>
          <w:color w:val="000000" w:themeColor="text1"/>
          <w:spacing w:val="-6"/>
          <w:sz w:val="24"/>
          <w:szCs w:val="24"/>
          <w:lang w:val="en-US" w:eastAsia="zh-CN"/>
          <w14:textFill>
            <w14:solidFill>
              <w14:schemeClr w14:val="tx1"/>
            </w14:solidFill>
          </w14:textFill>
        </w:rPr>
        <w:t>L</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混匀，</w:t>
      </w:r>
      <w:r>
        <w:rPr>
          <w:rFonts w:ascii="Times New Roman"/>
          <w:color w:val="000000" w:themeColor="text1"/>
          <w:spacing w:val="-6"/>
          <w:sz w:val="24"/>
          <w:szCs w:val="24"/>
          <w14:textFill>
            <w14:solidFill>
              <w14:schemeClr w14:val="tx1"/>
            </w14:solidFill>
          </w14:textFill>
        </w:rPr>
        <w:t>4℃</w:t>
      </w:r>
      <w:r>
        <w:rPr>
          <w:rFonts w:hint="eastAsia" w:hAnsi="宋体" w:cs="宋体"/>
          <w:color w:val="000000" w:themeColor="text1"/>
          <w:spacing w:val="-6"/>
          <w:sz w:val="24"/>
          <w:szCs w:val="24"/>
          <w14:textFill>
            <w14:solidFill>
              <w14:schemeClr w14:val="tx1"/>
            </w14:solidFill>
          </w14:textFill>
        </w:rPr>
        <w:t>冰箱中避光保存，可放置</w:t>
      </w:r>
      <w:r>
        <w:rPr>
          <w:rFonts w:ascii="Times New Roman"/>
          <w:color w:val="000000" w:themeColor="text1"/>
          <w:spacing w:val="-6"/>
          <w:sz w:val="24"/>
          <w:szCs w:val="24"/>
          <w14:textFill>
            <w14:solidFill>
              <w14:schemeClr w14:val="tx1"/>
            </w14:solidFill>
          </w14:textFill>
        </w:rPr>
        <w:t>6</w:t>
      </w:r>
      <w:r>
        <w:rPr>
          <w:rFonts w:hint="eastAsia" w:hAnsi="宋体" w:cs="宋体"/>
          <w:color w:val="000000" w:themeColor="text1"/>
          <w:spacing w:val="-6"/>
          <w:sz w:val="24"/>
          <w:szCs w:val="24"/>
          <w14:textFill>
            <w14:solidFill>
              <w14:schemeClr w14:val="tx1"/>
            </w14:solidFill>
          </w14:textFill>
        </w:rPr>
        <w:t>个月。</w:t>
      </w:r>
    </w:p>
    <w:p w14:paraId="07FB76B6">
      <w:pPr>
        <w:pStyle w:val="20"/>
        <w:keepNext w:val="0"/>
        <w:keepLines w:val="0"/>
        <w:pageBreakBefore w:val="0"/>
        <w:numPr>
          <w:ilvl w:val="4"/>
          <w:numId w:val="0"/>
        </w:numPr>
        <w:wordWrap/>
        <w:overflowPunct/>
        <w:topLinePunct w:val="0"/>
        <w:bidi w:val="0"/>
        <w:adjustRightInd/>
        <w:spacing w:line="360" w:lineRule="auto"/>
        <w:ind w:leftChars="0"/>
        <w:rPr>
          <w:color w:val="000000" w:themeColor="text1"/>
          <w:sz w:val="24"/>
          <w:szCs w:val="24"/>
          <w14:textFill>
            <w14:solidFill>
              <w14:schemeClr w14:val="tx1"/>
            </w14:solidFill>
          </w14:textFill>
        </w:rPr>
      </w:pPr>
      <w:r>
        <w:rPr>
          <w:rFonts w:hint="eastAsia" w:ascii="Times New Roman"/>
          <w:color w:val="000000" w:themeColor="text1"/>
          <w:sz w:val="24"/>
          <w:szCs w:val="24"/>
          <w:lang w:val="en-US" w:eastAsia="zh-CN"/>
          <w14:textFill>
            <w14:solidFill>
              <w14:schemeClr w14:val="tx1"/>
            </w14:solidFill>
          </w14:textFill>
        </w:rPr>
        <w:t xml:space="preserve">5.3.4.9  </w:t>
      </w:r>
      <w:r>
        <w:rPr>
          <w:rFonts w:hint="eastAsia" w:ascii="Times New Roman"/>
          <w:color w:val="000000" w:themeColor="text1"/>
          <w:sz w:val="24"/>
          <w:szCs w:val="24"/>
          <w14:textFill>
            <w14:solidFill>
              <w14:schemeClr w14:val="tx1"/>
            </w14:solidFill>
          </w14:textFill>
        </w:rPr>
        <w:t>磺胺溶液（C</w:t>
      </w:r>
      <w:r>
        <w:rPr>
          <w:rFonts w:hint="eastAsia" w:ascii="Times New Roman"/>
          <w:color w:val="000000" w:themeColor="text1"/>
          <w:sz w:val="24"/>
          <w:szCs w:val="24"/>
          <w:vertAlign w:val="subscript"/>
          <w14:textFill>
            <w14:solidFill>
              <w14:schemeClr w14:val="tx1"/>
            </w14:solidFill>
          </w14:textFill>
        </w:rPr>
        <w:t>6</w:t>
      </w:r>
      <w:r>
        <w:rPr>
          <w:rFonts w:hint="eastAsia" w:ascii="Times New Roman"/>
          <w:color w:val="000000" w:themeColor="text1"/>
          <w:sz w:val="24"/>
          <w:szCs w:val="24"/>
          <w14:textFill>
            <w14:solidFill>
              <w14:schemeClr w14:val="tx1"/>
            </w14:solidFill>
          </w14:textFill>
        </w:rPr>
        <w:t>H</w:t>
      </w:r>
      <w:r>
        <w:rPr>
          <w:rFonts w:hint="eastAsia" w:ascii="Times New Roman"/>
          <w:color w:val="000000" w:themeColor="text1"/>
          <w:sz w:val="24"/>
          <w:szCs w:val="24"/>
          <w:vertAlign w:val="subscript"/>
          <w14:textFill>
            <w14:solidFill>
              <w14:schemeClr w14:val="tx1"/>
            </w14:solidFill>
          </w14:textFill>
        </w:rPr>
        <w:t>8</w:t>
      </w:r>
      <w:r>
        <w:rPr>
          <w:rFonts w:hint="eastAsia" w:ascii="Times New Roman"/>
          <w:color w:val="000000" w:themeColor="text1"/>
          <w:sz w:val="24"/>
          <w:szCs w:val="24"/>
          <w14:textFill>
            <w14:solidFill>
              <w14:schemeClr w14:val="tx1"/>
            </w14:solidFill>
          </w14:textFill>
        </w:rPr>
        <w:t>N</w:t>
      </w:r>
      <w:r>
        <w:rPr>
          <w:rFonts w:hint="eastAsia" w:ascii="Times New Roman"/>
          <w:color w:val="000000" w:themeColor="text1"/>
          <w:sz w:val="24"/>
          <w:szCs w:val="24"/>
          <w:vertAlign w:val="subscript"/>
          <w14:textFill>
            <w14:solidFill>
              <w14:schemeClr w14:val="tx1"/>
            </w14:solidFill>
          </w14:textFill>
        </w:rPr>
        <w:t>2</w:t>
      </w:r>
      <w:r>
        <w:rPr>
          <w:rFonts w:hint="eastAsia" w:ascii="Times New Roman"/>
          <w:color w:val="000000" w:themeColor="text1"/>
          <w:sz w:val="24"/>
          <w:szCs w:val="24"/>
          <w14:textFill>
            <w14:solidFill>
              <w14:schemeClr w14:val="tx1"/>
            </w14:solidFill>
          </w14:textFill>
        </w:rPr>
        <w:t>O</w:t>
      </w:r>
      <w:r>
        <w:rPr>
          <w:rFonts w:hint="eastAsia" w:ascii="Times New Roman"/>
          <w:color w:val="000000" w:themeColor="text1"/>
          <w:sz w:val="24"/>
          <w:szCs w:val="24"/>
          <w:vertAlign w:val="subscript"/>
          <w14:textFill>
            <w14:solidFill>
              <w14:schemeClr w14:val="tx1"/>
            </w14:solidFill>
          </w14:textFill>
        </w:rPr>
        <w:t>2</w:t>
      </w:r>
      <w:r>
        <w:rPr>
          <w:rFonts w:hint="eastAsia" w:ascii="Times New Roman"/>
          <w:color w:val="000000" w:themeColor="text1"/>
          <w:sz w:val="24"/>
          <w:szCs w:val="24"/>
          <w14:textFill>
            <w14:solidFill>
              <w14:schemeClr w14:val="tx1"/>
            </w14:solidFill>
          </w14:textFill>
        </w:rPr>
        <w:t>S，</w:t>
      </w:r>
      <w:r>
        <w:rPr>
          <w:rFonts w:ascii="Times New Roman"/>
          <w:color w:val="000000" w:themeColor="text1"/>
          <w:sz w:val="24"/>
          <w:szCs w:val="24"/>
          <w:shd w:val="clear" w:color="auto" w:fill="FFFFFF"/>
          <w14:textFill>
            <w14:solidFill>
              <w14:schemeClr w14:val="tx1"/>
            </w14:solidFill>
          </w14:textFill>
        </w:rPr>
        <w:t>重氮化试剂</w:t>
      </w:r>
      <w:r>
        <w:rPr>
          <w:rFonts w:hint="eastAsia" w:ascii="Times New Roman"/>
          <w:color w:val="000000" w:themeColor="text1"/>
          <w:sz w:val="24"/>
          <w:szCs w:val="24"/>
          <w:shd w:val="clear" w:color="auto" w:fill="FFFFFF"/>
          <w:lang w:eastAsia="zh-CN"/>
          <w14:textFill>
            <w14:solidFill>
              <w14:schemeClr w14:val="tx1"/>
            </w14:solidFill>
          </w14:textFill>
        </w:rPr>
        <w:t>）</w:t>
      </w:r>
      <w:r>
        <w:rPr>
          <w:rFonts w:hint="eastAsia"/>
          <w:color w:val="000000" w:themeColor="text1"/>
          <w:sz w:val="24"/>
          <w:szCs w:val="24"/>
          <w14:textFill>
            <w14:solidFill>
              <w14:schemeClr w14:val="tx1"/>
            </w14:solidFill>
          </w14:textFill>
        </w:rPr>
        <w:t>：向1000</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m</w:t>
      </w:r>
      <w:r>
        <w:rPr>
          <w:rFonts w:hint="eastAsia"/>
          <w:color w:val="000000" w:themeColor="text1"/>
          <w:sz w:val="24"/>
          <w:szCs w:val="24"/>
          <w:lang w:val="en-US" w:eastAsia="zh-CN"/>
          <w14:textFill>
            <w14:solidFill>
              <w14:schemeClr w14:val="tx1"/>
            </w14:solidFill>
          </w14:textFill>
        </w:rPr>
        <w:t>L</w:t>
      </w:r>
      <w:r>
        <w:rPr>
          <w:rFonts w:hint="eastAsia"/>
          <w:color w:val="000000" w:themeColor="text1"/>
          <w:sz w:val="24"/>
          <w:szCs w:val="24"/>
          <w14:textFill>
            <w14:solidFill>
              <w14:schemeClr w14:val="tx1"/>
            </w14:solidFill>
          </w14:textFill>
        </w:rPr>
        <w:t>容量瓶中加入600</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m</w:t>
      </w:r>
      <w:r>
        <w:rPr>
          <w:rFonts w:hint="eastAsia"/>
          <w:color w:val="000000" w:themeColor="text1"/>
          <w:sz w:val="24"/>
          <w:szCs w:val="24"/>
          <w:lang w:val="en-US" w:eastAsia="zh-CN"/>
          <w14:textFill>
            <w14:solidFill>
              <w14:schemeClr w14:val="tx1"/>
            </w14:solidFill>
          </w14:textFill>
        </w:rPr>
        <w:t>L</w:t>
      </w:r>
      <w:r>
        <w:rPr>
          <w:rFonts w:hint="eastAsia"/>
          <w:color w:val="000000" w:themeColor="text1"/>
          <w:sz w:val="24"/>
          <w:szCs w:val="24"/>
          <w14:textFill>
            <w14:solidFill>
              <w14:schemeClr w14:val="tx1"/>
            </w14:solidFill>
          </w14:textFill>
        </w:rPr>
        <w:t>水，再加入200 m</w:t>
      </w:r>
      <w:r>
        <w:rPr>
          <w:rFonts w:hint="eastAsia"/>
          <w:color w:val="000000" w:themeColor="text1"/>
          <w:sz w:val="24"/>
          <w:szCs w:val="24"/>
          <w:lang w:val="en-US" w:eastAsia="zh-CN"/>
          <w14:textFill>
            <w14:solidFill>
              <w14:schemeClr w14:val="tx1"/>
            </w14:solidFill>
          </w14:textFill>
        </w:rPr>
        <w:t>L</w:t>
      </w:r>
      <w:r>
        <w:rPr>
          <w:rFonts w:hint="eastAsia"/>
          <w:color w:val="000000" w:themeColor="text1"/>
          <w:sz w:val="24"/>
          <w:szCs w:val="24"/>
          <w14:textFill>
            <w14:solidFill>
              <w14:schemeClr w14:val="tx1"/>
            </w14:solidFill>
          </w14:textFill>
        </w:rPr>
        <w:t>浓磷酸，再加入80 g磺胺，定容后混匀。该溶液4℃可保存1年。</w:t>
      </w:r>
    </w:p>
    <w:p w14:paraId="5505E694">
      <w:pPr>
        <w:pStyle w:val="20"/>
        <w:keepNext w:val="0"/>
        <w:keepLines w:val="0"/>
        <w:pageBreakBefore w:val="0"/>
        <w:numPr>
          <w:ilvl w:val="4"/>
          <w:numId w:val="0"/>
        </w:numPr>
        <w:wordWrap/>
        <w:overflowPunct/>
        <w:topLinePunct w:val="0"/>
        <w:bidi w:val="0"/>
        <w:adjustRightInd/>
        <w:spacing w:line="360" w:lineRule="auto"/>
        <w:ind w:leftChars="0"/>
        <w:rPr>
          <w:color w:val="000000" w:themeColor="text1"/>
          <w:sz w:val="24"/>
          <w:szCs w:val="24"/>
          <w14:textFill>
            <w14:solidFill>
              <w14:schemeClr w14:val="tx1"/>
            </w14:solidFill>
          </w14:textFill>
        </w:rPr>
      </w:pPr>
      <w:r>
        <w:rPr>
          <w:rFonts w:hint="eastAsia" w:ascii="Times New Roman"/>
          <w:color w:val="000000" w:themeColor="text1"/>
          <w:sz w:val="24"/>
          <w:szCs w:val="24"/>
          <w:lang w:val="en-US" w:eastAsia="zh-CN"/>
          <w14:textFill>
            <w14:solidFill>
              <w14:schemeClr w14:val="tx1"/>
            </w14:solidFill>
          </w14:textFill>
        </w:rPr>
        <w:t xml:space="preserve">5.3.4.10 </w:t>
      </w:r>
      <w:r>
        <w:rPr>
          <w:rFonts w:hint="eastAsia" w:ascii="Times New Roman"/>
          <w:color w:val="000000" w:themeColor="text1"/>
          <w:sz w:val="24"/>
          <w:szCs w:val="24"/>
          <w14:textFill>
            <w14:solidFill>
              <w14:schemeClr w14:val="tx1"/>
            </w14:solidFill>
          </w14:textFill>
        </w:rPr>
        <w:t>盐酸N-（1-萘基）-乙二胺溶液（C</w:t>
      </w:r>
      <w:r>
        <w:rPr>
          <w:rFonts w:hint="eastAsia" w:ascii="Times New Roman"/>
          <w:color w:val="000000" w:themeColor="text1"/>
          <w:sz w:val="24"/>
          <w:szCs w:val="24"/>
          <w:vertAlign w:val="subscript"/>
          <w14:textFill>
            <w14:solidFill>
              <w14:schemeClr w14:val="tx1"/>
            </w14:solidFill>
          </w14:textFill>
        </w:rPr>
        <w:t>12</w:t>
      </w:r>
      <w:r>
        <w:rPr>
          <w:rFonts w:hint="eastAsia" w:ascii="Times New Roman"/>
          <w:color w:val="000000" w:themeColor="text1"/>
          <w:sz w:val="24"/>
          <w:szCs w:val="24"/>
          <w14:textFill>
            <w14:solidFill>
              <w14:schemeClr w14:val="tx1"/>
            </w14:solidFill>
          </w14:textFill>
        </w:rPr>
        <w:t>H</w:t>
      </w:r>
      <w:r>
        <w:rPr>
          <w:rFonts w:hint="eastAsia" w:ascii="Times New Roman"/>
          <w:color w:val="000000" w:themeColor="text1"/>
          <w:sz w:val="24"/>
          <w:szCs w:val="24"/>
          <w:vertAlign w:val="subscript"/>
          <w14:textFill>
            <w14:solidFill>
              <w14:schemeClr w14:val="tx1"/>
            </w14:solidFill>
          </w14:textFill>
        </w:rPr>
        <w:t>14</w:t>
      </w:r>
      <w:r>
        <w:rPr>
          <w:rFonts w:hint="eastAsia" w:ascii="Times New Roman"/>
          <w:color w:val="000000" w:themeColor="text1"/>
          <w:sz w:val="24"/>
          <w:szCs w:val="24"/>
          <w14:textFill>
            <w14:solidFill>
              <w14:schemeClr w14:val="tx1"/>
            </w14:solidFill>
          </w14:textFill>
        </w:rPr>
        <w:t>N</w:t>
      </w:r>
      <w:r>
        <w:rPr>
          <w:rFonts w:hint="eastAsia" w:ascii="Times New Roman"/>
          <w:color w:val="000000" w:themeColor="text1"/>
          <w:sz w:val="24"/>
          <w:szCs w:val="24"/>
          <w:vertAlign w:val="subscript"/>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w:t>
      </w:r>
      <w:r>
        <w:rPr>
          <w:rFonts w:hint="eastAsia" w:ascii="Times New Roman"/>
          <w:color w:val="000000" w:themeColor="text1"/>
          <w:sz w:val="24"/>
          <w:szCs w:val="24"/>
          <w14:textFill>
            <w14:solidFill>
              <w14:schemeClr w14:val="tx1"/>
            </w14:solidFill>
          </w14:textFill>
        </w:rPr>
        <w:t>2HCl，</w:t>
      </w:r>
      <w:r>
        <w:rPr>
          <w:rFonts w:ascii="Times New Roman"/>
          <w:color w:val="000000" w:themeColor="text1"/>
          <w:sz w:val="24"/>
          <w:szCs w:val="24"/>
          <w:shd w:val="clear" w:color="auto" w:fill="FFFFFF"/>
          <w14:textFill>
            <w14:solidFill>
              <w14:schemeClr w14:val="tx1"/>
            </w14:solidFill>
          </w14:textFill>
        </w:rPr>
        <w:t>NEDA</w:t>
      </w:r>
      <w:r>
        <w:rPr>
          <w:rFonts w:hint="eastAsia" w:ascii="Times New Roman"/>
          <w:color w:val="000000" w:themeColor="text1"/>
          <w:sz w:val="24"/>
          <w:szCs w:val="24"/>
          <w:shd w:val="clear" w:color="auto" w:fill="FFFFFF"/>
          <w14:textFill>
            <w14:solidFill>
              <w14:schemeClr w14:val="tx1"/>
            </w14:solidFill>
          </w14:textFill>
        </w:rPr>
        <w:t>，</w:t>
      </w:r>
      <w:r>
        <w:rPr>
          <w:rFonts w:ascii="Times New Roman"/>
          <w:color w:val="000000" w:themeColor="text1"/>
          <w:sz w:val="24"/>
          <w:szCs w:val="24"/>
          <w:shd w:val="clear" w:color="auto" w:fill="FFFFFF"/>
          <w14:textFill>
            <w14:solidFill>
              <w14:schemeClr w14:val="tx1"/>
            </w14:solidFill>
          </w14:textFill>
        </w:rPr>
        <w:t>偶合试剂</w:t>
      </w:r>
      <w:r>
        <w:rPr>
          <w:rFonts w:hint="eastAsia" w:ascii="Times New Roman"/>
          <w:color w:val="000000" w:themeColor="text1"/>
          <w:sz w:val="24"/>
          <w:szCs w:val="24"/>
          <w14:textFill>
            <w14:solidFill>
              <w14:schemeClr w14:val="tx1"/>
            </w14:solidFill>
          </w14:textFill>
        </w:rPr>
        <w:t>）</w:t>
      </w:r>
      <w:r>
        <w:rPr>
          <w:rFonts w:hint="eastAsia"/>
          <w:color w:val="000000" w:themeColor="text1"/>
          <w:sz w:val="24"/>
          <w:szCs w:val="24"/>
          <w14:textFill>
            <w14:solidFill>
              <w14:schemeClr w14:val="tx1"/>
            </w14:solidFill>
          </w14:textFill>
        </w:rPr>
        <w:t>：称取0.40 g盐酸N-（1-萘基）-乙二胺溶于100 m</w:t>
      </w:r>
      <w:r>
        <w:rPr>
          <w:rFonts w:hint="eastAsia"/>
          <w:color w:val="000000" w:themeColor="text1"/>
          <w:sz w:val="24"/>
          <w:szCs w:val="24"/>
          <w:lang w:val="en-US" w:eastAsia="zh-CN"/>
          <w14:textFill>
            <w14:solidFill>
              <w14:schemeClr w14:val="tx1"/>
            </w14:solidFill>
          </w14:textFill>
        </w:rPr>
        <w:t>L</w:t>
      </w:r>
      <w:r>
        <w:rPr>
          <w:rFonts w:hint="eastAsia"/>
          <w:color w:val="000000" w:themeColor="text1"/>
          <w:sz w:val="24"/>
          <w:szCs w:val="24"/>
          <w14:textFill>
            <w14:solidFill>
              <w14:schemeClr w14:val="tx1"/>
            </w14:solidFill>
          </w14:textFill>
        </w:rPr>
        <w:t>水中。4℃冰箱中保存，当溶液颜色变深时停止使用。</w:t>
      </w:r>
    </w:p>
    <w:p w14:paraId="5E6B9A06">
      <w:pPr>
        <w:pStyle w:val="20"/>
        <w:keepNext w:val="0"/>
        <w:keepLines w:val="0"/>
        <w:pageBreakBefore w:val="0"/>
        <w:numPr>
          <w:ilvl w:val="4"/>
          <w:numId w:val="0"/>
        </w:numPr>
        <w:wordWrap/>
        <w:overflowPunct/>
        <w:topLinePunct w:val="0"/>
        <w:bidi w:val="0"/>
        <w:adjustRightInd/>
        <w:spacing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5.3.4.11 </w:t>
      </w:r>
      <w:r>
        <w:rPr>
          <w:rFonts w:hint="eastAsia"/>
          <w:color w:val="000000" w:themeColor="text1"/>
          <w:sz w:val="24"/>
          <w:szCs w:val="24"/>
          <w14:textFill>
            <w14:solidFill>
              <w14:schemeClr w14:val="tx1"/>
            </w14:solidFill>
          </w14:textFill>
        </w:rPr>
        <w:t>显色剂：量取20 mL磺胺溶液、20 m</w:t>
      </w:r>
      <w:r>
        <w:rPr>
          <w:rFonts w:hint="eastAsia"/>
          <w:color w:val="000000" w:themeColor="text1"/>
          <w:sz w:val="24"/>
          <w:szCs w:val="24"/>
          <w:lang w:val="en-US" w:eastAsia="zh-CN"/>
          <w14:textFill>
            <w14:solidFill>
              <w14:schemeClr w14:val="tx1"/>
            </w14:solidFill>
          </w14:textFill>
        </w:rPr>
        <w:t>L</w:t>
      </w:r>
      <w:r>
        <w:rPr>
          <w:rFonts w:hint="eastAsia"/>
          <w:color w:val="000000" w:themeColor="text1"/>
          <w:sz w:val="24"/>
          <w:szCs w:val="24"/>
          <w14:textFill>
            <w14:solidFill>
              <w14:schemeClr w14:val="tx1"/>
            </w14:solidFill>
          </w14:textFill>
        </w:rPr>
        <w:t>（1-萘基）-乙二胺盐酸溶液、20</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mL浓磷酸，混匀，4 ℃保存于棕色试剂瓶中。该溶液应该是无色的，变色后停止使用。</w:t>
      </w:r>
    </w:p>
    <w:p w14:paraId="3106DE41">
      <w:pPr>
        <w:pStyle w:val="20"/>
        <w:keepNext w:val="0"/>
        <w:keepLines w:val="0"/>
        <w:pageBreakBefore w:val="0"/>
        <w:numPr>
          <w:ilvl w:val="4"/>
          <w:numId w:val="0"/>
        </w:numPr>
        <w:wordWrap/>
        <w:overflowPunct/>
        <w:topLinePunct w:val="0"/>
        <w:bidi w:val="0"/>
        <w:adjustRightInd/>
        <w:spacing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5.3.4.12 </w:t>
      </w:r>
      <w:r>
        <w:rPr>
          <w:rFonts w:hint="eastAsia"/>
          <w:color w:val="000000" w:themeColor="text1"/>
          <w:sz w:val="24"/>
          <w:szCs w:val="24"/>
          <w14:textFill>
            <w14:solidFill>
              <w14:schemeClr w14:val="tx1"/>
            </w14:solidFill>
          </w14:textFill>
        </w:rPr>
        <w:t>碳酸氢钠（5 mmol/L）：称取 0.42 g 分析纯的碳酸氢钠，用蒸馏水溶解、定容至1 L</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混匀</w:t>
      </w:r>
      <w:r>
        <w:rPr>
          <w:rFonts w:hint="eastAsia"/>
          <w:color w:val="000000" w:themeColor="text1"/>
          <w:sz w:val="24"/>
          <w:szCs w:val="24"/>
          <w14:textFill>
            <w14:solidFill>
              <w14:schemeClr w14:val="tx1"/>
            </w14:solidFill>
          </w14:textFill>
        </w:rPr>
        <w:t>。</w:t>
      </w:r>
    </w:p>
    <w:p w14:paraId="0E8B6835">
      <w:pPr>
        <w:pStyle w:val="17"/>
        <w:keepNext w:val="0"/>
        <w:keepLines w:val="0"/>
        <w:pageBreakBefore w:val="0"/>
        <w:wordWrap/>
        <w:overflowPunct/>
        <w:topLinePunct w:val="0"/>
        <w:bidi w:val="0"/>
        <w:adjustRightInd/>
        <w:spacing w:line="360" w:lineRule="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当培养介质溶液需要碳源时，例如待测土壤的硝氮水平较高，在试验介质中加入10 m</w:t>
      </w:r>
      <w:r>
        <w:rPr>
          <w:rFonts w:hint="eastAsia"/>
          <w:color w:val="000000" w:themeColor="text1"/>
          <w:sz w:val="21"/>
          <w:szCs w:val="21"/>
          <w:lang w:val="en-US" w:eastAsia="zh-CN"/>
          <w14:textFill>
            <w14:solidFill>
              <w14:schemeClr w14:val="tx1"/>
            </w14:solidFill>
          </w14:textFill>
        </w:rPr>
        <w:t>L</w:t>
      </w:r>
      <w:r>
        <w:rPr>
          <w:rFonts w:hint="eastAsia"/>
          <w:color w:val="000000" w:themeColor="text1"/>
          <w:sz w:val="21"/>
          <w:szCs w:val="21"/>
          <w14:textFill>
            <w14:solidFill>
              <w14:schemeClr w14:val="tx1"/>
            </w14:solidFill>
          </w14:textFill>
        </w:rPr>
        <w:t>碳酸氢钠溶液，然后再定容到1L</w:t>
      </w:r>
      <w:r>
        <w:rPr>
          <w:rFonts w:hint="eastAsia"/>
          <w:color w:val="000000" w:themeColor="text1"/>
          <w:sz w:val="21"/>
          <w:szCs w:val="21"/>
          <w:lang w:eastAsia="zh-CN"/>
          <w14:textFill>
            <w14:solidFill>
              <w14:schemeClr w14:val="tx1"/>
            </w14:solidFill>
          </w14:textFill>
        </w:rPr>
        <w:t>，</w:t>
      </w:r>
      <w:r>
        <w:rPr>
          <w:rFonts w:hint="eastAsia"/>
          <w:color w:val="000000" w:themeColor="text1"/>
          <w:sz w:val="21"/>
          <w:szCs w:val="21"/>
          <w:lang w:val="en-US" w:eastAsia="zh-CN"/>
          <w14:textFill>
            <w14:solidFill>
              <w14:schemeClr w14:val="tx1"/>
            </w14:solidFill>
          </w14:textFill>
        </w:rPr>
        <w:t>混匀</w:t>
      </w:r>
      <w:r>
        <w:rPr>
          <w:rFonts w:hint="eastAsia"/>
          <w:color w:val="000000" w:themeColor="text1"/>
          <w:sz w:val="21"/>
          <w:szCs w:val="21"/>
          <w14:textFill>
            <w14:solidFill>
              <w14:schemeClr w14:val="tx1"/>
            </w14:solidFill>
          </w14:textFill>
        </w:rPr>
        <w:t>。肥料中的碳能促进氨氧化过程，进而促进亚硝态氮积累，因此若肥料样品原料中含有碳酸氢铵或其它含碳物质，生产企业应主动说明其碳含量，用于准确配制肥料样品的对照。</w:t>
      </w:r>
    </w:p>
    <w:p w14:paraId="1363A9FB">
      <w:pPr>
        <w:pStyle w:val="20"/>
        <w:keepNext w:val="0"/>
        <w:keepLines w:val="0"/>
        <w:pageBreakBefore w:val="0"/>
        <w:numPr>
          <w:ilvl w:val="4"/>
          <w:numId w:val="0"/>
        </w:numPr>
        <w:wordWrap/>
        <w:overflowPunct/>
        <w:topLinePunct w:val="0"/>
        <w:bidi w:val="0"/>
        <w:adjustRightInd/>
        <w:spacing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5.3.4.13 土壤：</w:t>
      </w:r>
      <w:r>
        <w:rPr>
          <w:rFonts w:hint="eastAsia"/>
          <w:color w:val="000000" w:themeColor="text1"/>
          <w:sz w:val="24"/>
          <w:szCs w:val="24"/>
          <w14:textFill>
            <w14:solidFill>
              <w14:schemeClr w14:val="tx1"/>
            </w14:solidFill>
          </w14:textFill>
        </w:rPr>
        <w:t>按</w:t>
      </w:r>
      <w:r>
        <w:rPr>
          <w:rFonts w:hint="eastAsia"/>
          <w:color w:val="000000" w:themeColor="text1"/>
          <w:sz w:val="24"/>
          <w:szCs w:val="24"/>
          <w:lang w:val="en-US" w:eastAsia="zh-CN"/>
          <w14:textFill>
            <w14:solidFill>
              <w14:schemeClr w14:val="tx1"/>
            </w14:solidFill>
          </w14:textFill>
        </w:rPr>
        <w:t>NY/T 1121.1中的方法</w:t>
      </w:r>
      <w:r>
        <w:rPr>
          <w:rFonts w:hint="eastAsia"/>
          <w:color w:val="000000" w:themeColor="text1"/>
          <w:sz w:val="24"/>
          <w:szCs w:val="24"/>
          <w14:textFill>
            <w14:solidFill>
              <w14:schemeClr w14:val="tx1"/>
            </w14:solidFill>
          </w14:textFill>
        </w:rPr>
        <w:t>采</w:t>
      </w:r>
      <w:r>
        <w:rPr>
          <w:rFonts w:hint="eastAsia"/>
          <w:color w:val="000000" w:themeColor="text1"/>
          <w:sz w:val="24"/>
          <w:szCs w:val="24"/>
          <w:lang w:val="en-US" w:eastAsia="zh-CN"/>
          <w14:textFill>
            <w14:solidFill>
              <w14:schemeClr w14:val="tx1"/>
            </w14:solidFill>
          </w14:textFill>
        </w:rPr>
        <w:t>集</w:t>
      </w:r>
      <w:r>
        <w:rPr>
          <w:rFonts w:hint="eastAsia"/>
          <w:color w:val="000000" w:themeColor="text1"/>
          <w:sz w:val="24"/>
          <w:szCs w:val="24"/>
          <w14:textFill>
            <w14:solidFill>
              <w14:schemeClr w14:val="tx1"/>
            </w14:solidFill>
          </w14:textFill>
        </w:rPr>
        <w:t>未施肥料两个月以上的耕层土壤（0-20 cm）</w:t>
      </w:r>
      <w:r>
        <w:rPr>
          <w:rFonts w:hint="eastAsia"/>
          <w:color w:val="000000" w:themeColor="text1"/>
          <w:sz w:val="24"/>
          <w:szCs w:val="24"/>
          <w:lang w:val="en-US" w:eastAsia="zh-CN"/>
          <w14:textFill>
            <w14:solidFill>
              <w14:schemeClr w14:val="tx1"/>
            </w14:solidFill>
          </w14:textFill>
        </w:rPr>
        <w:t>，带</w:t>
      </w:r>
      <w:r>
        <w:rPr>
          <w:rFonts w:hint="eastAsia"/>
          <w:color w:val="000000" w:themeColor="text1"/>
          <w:sz w:val="24"/>
          <w:szCs w:val="24"/>
          <w14:textFill>
            <w14:solidFill>
              <w14:schemeClr w14:val="tx1"/>
            </w14:solidFill>
          </w14:textFill>
        </w:rPr>
        <w:t>回实验室过2mm筛</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混匀</w:t>
      </w:r>
      <w:r>
        <w:rPr>
          <w:rFonts w:hint="eastAsia"/>
          <w:color w:val="000000" w:themeColor="text1"/>
          <w:sz w:val="24"/>
          <w:szCs w:val="24"/>
          <w14:textFill>
            <w14:solidFill>
              <w14:schemeClr w14:val="tx1"/>
            </w14:solidFill>
          </w14:textFill>
        </w:rPr>
        <w:t>后直接使用</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或者风干、研磨、过1mm筛</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混匀备用。</w:t>
      </w:r>
      <w:r>
        <w:rPr>
          <w:rFonts w:hint="eastAsia"/>
          <w:color w:val="000000" w:themeColor="text1"/>
          <w:sz w:val="24"/>
          <w:szCs w:val="24"/>
          <w:lang w:val="en-US" w:eastAsia="zh-CN"/>
          <w14:textFill>
            <w14:solidFill>
              <w14:schemeClr w14:val="tx1"/>
            </w14:solidFill>
          </w14:textFill>
        </w:rPr>
        <w:t>同时，供试土壤应符合GB/T 41223中的土壤要求。</w:t>
      </w:r>
    </w:p>
    <w:p w14:paraId="107FBB98">
      <w:pPr>
        <w:pStyle w:val="19"/>
        <w:keepNext w:val="0"/>
        <w:keepLines w:val="0"/>
        <w:pageBreakBefore w:val="0"/>
        <w:numPr>
          <w:ilvl w:val="3"/>
          <w:numId w:val="0"/>
        </w:numPr>
        <w:wordWrap/>
        <w:overflowPunct/>
        <w:topLinePunct w:val="0"/>
        <w:bidi w:val="0"/>
        <w:adjustRightInd/>
        <w:spacing w:before="156" w:after="156" w:line="360" w:lineRule="auto"/>
        <w:ind w:leftChars="0"/>
        <w:rPr>
          <w:b/>
          <w:bCs/>
          <w:color w:val="000000" w:themeColor="text1"/>
          <w:sz w:val="24"/>
          <w:szCs w:val="24"/>
          <w14:textFill>
            <w14:solidFill>
              <w14:schemeClr w14:val="tx1"/>
            </w14:solidFill>
          </w14:textFill>
        </w:rPr>
      </w:pPr>
      <w:bookmarkStart w:id="20" w:name="_Toc231994786"/>
      <w:r>
        <w:rPr>
          <w:rFonts w:hint="eastAsia"/>
          <w:b/>
          <w:bCs/>
          <w:color w:val="000000" w:themeColor="text1"/>
          <w:sz w:val="24"/>
          <w:szCs w:val="24"/>
          <w:lang w:val="en-US" w:eastAsia="zh-CN"/>
          <w14:textFill>
            <w14:solidFill>
              <w14:schemeClr w14:val="tx1"/>
            </w14:solidFill>
          </w14:textFill>
        </w:rPr>
        <w:t xml:space="preserve">5.3.5 </w:t>
      </w:r>
      <w:r>
        <w:rPr>
          <w:rFonts w:hint="eastAsia"/>
          <w:b/>
          <w:bCs/>
          <w:color w:val="000000" w:themeColor="text1"/>
          <w:sz w:val="24"/>
          <w:szCs w:val="24"/>
          <w14:textFill>
            <w14:solidFill>
              <w14:schemeClr w14:val="tx1"/>
            </w14:solidFill>
          </w14:textFill>
        </w:rPr>
        <w:t>测定</w:t>
      </w:r>
      <w:r>
        <w:rPr>
          <w:b/>
          <w:bCs/>
          <w:color w:val="000000" w:themeColor="text1"/>
          <w:sz w:val="24"/>
          <w:szCs w:val="24"/>
          <w14:textFill>
            <w14:solidFill>
              <w14:schemeClr w14:val="tx1"/>
            </w14:solidFill>
          </w14:textFill>
        </w:rPr>
        <w:t>步骤</w:t>
      </w:r>
      <w:bookmarkEnd w:id="20"/>
    </w:p>
    <w:p w14:paraId="0F4C7217">
      <w:pPr>
        <w:pStyle w:val="21"/>
        <w:keepNext w:val="0"/>
        <w:keepLines w:val="0"/>
        <w:pageBreakBefore w:val="0"/>
        <w:numPr>
          <w:ilvl w:val="4"/>
          <w:numId w:val="0"/>
        </w:numPr>
        <w:wordWrap/>
        <w:overflowPunct/>
        <w:topLinePunct w:val="0"/>
        <w:bidi w:val="0"/>
        <w:adjustRightInd/>
        <w:spacing w:before="156" w:after="156" w:line="360" w:lineRule="auto"/>
        <w:ind w:leftChars="0"/>
        <w:rPr>
          <w:snapToGrid w:val="0"/>
          <w:color w:val="000000" w:themeColor="text1"/>
          <w:sz w:val="24"/>
          <w:szCs w:val="24"/>
          <w14:textFill>
            <w14:solidFill>
              <w14:schemeClr w14:val="tx1"/>
            </w14:solidFill>
          </w14:textFill>
        </w:rPr>
      </w:pPr>
      <w:r>
        <w:rPr>
          <w:rFonts w:hint="eastAsia"/>
          <w:snapToGrid w:val="0"/>
          <w:color w:val="000000" w:themeColor="text1"/>
          <w:sz w:val="24"/>
          <w:szCs w:val="24"/>
          <w:lang w:val="en-US" w:eastAsia="zh-CN"/>
          <w14:textFill>
            <w14:solidFill>
              <w14:schemeClr w14:val="tx1"/>
            </w14:solidFill>
          </w14:textFill>
        </w:rPr>
        <w:t xml:space="preserve">5.3.5.1 </w:t>
      </w:r>
      <w:r>
        <w:rPr>
          <w:rFonts w:hint="eastAsia"/>
          <w:snapToGrid w:val="0"/>
          <w:color w:val="000000" w:themeColor="text1"/>
          <w:sz w:val="24"/>
          <w:szCs w:val="24"/>
          <w14:textFill>
            <w14:solidFill>
              <w14:schemeClr w14:val="tx1"/>
            </w14:solidFill>
          </w14:textFill>
        </w:rPr>
        <w:t>肥料中总氮含量的测定</w:t>
      </w:r>
    </w:p>
    <w:p w14:paraId="6EF87F1B">
      <w:pPr>
        <w:pStyle w:val="6"/>
        <w:keepNext w:val="0"/>
        <w:keepLines w:val="0"/>
        <w:pageBreakBefore w:val="0"/>
        <w:wordWrap/>
        <w:overflowPunct/>
        <w:topLinePunct w:val="0"/>
        <w:bidi w:val="0"/>
        <w:adjustRightInd/>
        <w:spacing w:line="360" w:lineRule="auto"/>
        <w:ind w:firstLine="420"/>
        <w:rPr>
          <w:rFonts w:hint="eastAsia"/>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按照GB/T 22923或GB/T 42955或GB/T 8572中的方法测定。</w:t>
      </w:r>
    </w:p>
    <w:p w14:paraId="57784763">
      <w:pPr>
        <w:pStyle w:val="21"/>
        <w:keepNext w:val="0"/>
        <w:keepLines w:val="0"/>
        <w:pageBreakBefore w:val="0"/>
        <w:numPr>
          <w:ilvl w:val="4"/>
          <w:numId w:val="0"/>
        </w:numPr>
        <w:wordWrap/>
        <w:overflowPunct/>
        <w:topLinePunct w:val="0"/>
        <w:bidi w:val="0"/>
        <w:adjustRightInd/>
        <w:spacing w:before="156" w:after="156" w:line="360" w:lineRule="auto"/>
        <w:ind w:leftChars="0"/>
        <w:rPr>
          <w:snapToGrid w:val="0"/>
          <w:color w:val="000000" w:themeColor="text1"/>
          <w:sz w:val="24"/>
          <w:szCs w:val="24"/>
          <w14:textFill>
            <w14:solidFill>
              <w14:schemeClr w14:val="tx1"/>
            </w14:solidFill>
          </w14:textFill>
        </w:rPr>
      </w:pPr>
      <w:r>
        <w:rPr>
          <w:rFonts w:hint="eastAsia"/>
          <w:snapToGrid w:val="0"/>
          <w:color w:val="000000" w:themeColor="text1"/>
          <w:sz w:val="24"/>
          <w:szCs w:val="24"/>
          <w:lang w:val="en-US" w:eastAsia="zh-CN"/>
          <w14:textFill>
            <w14:solidFill>
              <w14:schemeClr w14:val="tx1"/>
            </w14:solidFill>
          </w14:textFill>
        </w:rPr>
        <w:t>5.3.5.2</w:t>
      </w:r>
      <w:r>
        <w:rPr>
          <w:rFonts w:hint="eastAsia"/>
          <w:snapToGrid w:val="0"/>
          <w:color w:val="000000" w:themeColor="text1"/>
          <w:sz w:val="24"/>
          <w:szCs w:val="24"/>
          <w14:textFill>
            <w14:solidFill>
              <w14:schemeClr w14:val="tx1"/>
            </w14:solidFill>
          </w14:textFill>
        </w:rPr>
        <w:t>肥料中尿素含量的测定</w:t>
      </w:r>
    </w:p>
    <w:p w14:paraId="3C5772CA">
      <w:pPr>
        <w:pStyle w:val="6"/>
        <w:keepNext w:val="0"/>
        <w:keepLines w:val="0"/>
        <w:pageBreakBefore w:val="0"/>
        <w:wordWrap/>
        <w:overflowPunct/>
        <w:topLinePunct w:val="0"/>
        <w:bidi w:val="0"/>
        <w:adjustRightInd/>
        <w:spacing w:line="360" w:lineRule="auto"/>
        <w:ind w:firstLine="42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按照ISO 19746中的方法测定，见附录</w:t>
      </w:r>
      <w:r>
        <w:rPr>
          <w:rFonts w:hint="eastAsia"/>
          <w:color w:val="000000" w:themeColor="text1"/>
          <w:sz w:val="24"/>
          <w:szCs w:val="24"/>
          <w:lang w:val="en-US" w:eastAsia="zh-CN"/>
          <w14:textFill>
            <w14:solidFill>
              <w14:schemeClr w14:val="tx1"/>
            </w14:solidFill>
          </w14:textFill>
        </w:rPr>
        <w:t>B</w:t>
      </w:r>
      <w:r>
        <w:rPr>
          <w:rFonts w:hint="eastAsia"/>
          <w:color w:val="000000" w:themeColor="text1"/>
          <w:sz w:val="24"/>
          <w:szCs w:val="24"/>
          <w14:textFill>
            <w14:solidFill>
              <w14:schemeClr w14:val="tx1"/>
            </w14:solidFill>
          </w14:textFill>
        </w:rPr>
        <w:t>。</w:t>
      </w:r>
    </w:p>
    <w:p w14:paraId="01DB875A">
      <w:pPr>
        <w:pStyle w:val="21"/>
        <w:keepNext w:val="0"/>
        <w:keepLines w:val="0"/>
        <w:pageBreakBefore w:val="0"/>
        <w:numPr>
          <w:ilvl w:val="4"/>
          <w:numId w:val="0"/>
        </w:numPr>
        <w:wordWrap/>
        <w:overflowPunct/>
        <w:topLinePunct w:val="0"/>
        <w:bidi w:val="0"/>
        <w:adjustRightInd/>
        <w:spacing w:before="156" w:after="156" w:line="360" w:lineRule="auto"/>
        <w:ind w:leftChars="0"/>
        <w:rPr>
          <w:color w:val="000000" w:themeColor="text1"/>
          <w:sz w:val="24"/>
          <w:szCs w:val="24"/>
          <w14:textFill>
            <w14:solidFill>
              <w14:schemeClr w14:val="tx1"/>
            </w14:solidFill>
          </w14:textFill>
        </w:rPr>
      </w:pPr>
      <w:r>
        <w:rPr>
          <w:rFonts w:hint="eastAsia"/>
          <w:snapToGrid w:val="0"/>
          <w:color w:val="000000" w:themeColor="text1"/>
          <w:sz w:val="24"/>
          <w:szCs w:val="24"/>
          <w:lang w:val="en-US" w:eastAsia="zh-CN"/>
          <w14:textFill>
            <w14:solidFill>
              <w14:schemeClr w14:val="tx1"/>
            </w14:solidFill>
          </w14:textFill>
        </w:rPr>
        <w:t xml:space="preserve">5.3.5.3 </w:t>
      </w:r>
      <w:r>
        <w:rPr>
          <w:rFonts w:hint="eastAsia"/>
          <w:snapToGrid w:val="0"/>
          <w:color w:val="000000" w:themeColor="text1"/>
          <w:sz w:val="24"/>
          <w:szCs w:val="24"/>
          <w14:textFill>
            <w14:solidFill>
              <w14:schemeClr w14:val="tx1"/>
            </w14:solidFill>
          </w14:textFill>
        </w:rPr>
        <w:t>肥料中硝态氮含量的测定</w:t>
      </w:r>
    </w:p>
    <w:p w14:paraId="5DE4449C">
      <w:pPr>
        <w:pStyle w:val="6"/>
        <w:keepNext w:val="0"/>
        <w:keepLines w:val="0"/>
        <w:pageBreakBefore w:val="0"/>
        <w:wordWrap/>
        <w:overflowPunct/>
        <w:topLinePunct w:val="0"/>
        <w:bidi w:val="0"/>
        <w:adjustRightInd/>
        <w:spacing w:line="360" w:lineRule="auto"/>
        <w:ind w:firstLine="42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按照GB/T 3597中的方法或GB/T 22923中的方法测定。</w:t>
      </w:r>
    </w:p>
    <w:p w14:paraId="1929085E">
      <w:pPr>
        <w:pStyle w:val="21"/>
        <w:keepNext w:val="0"/>
        <w:keepLines w:val="0"/>
        <w:pageBreakBefore w:val="0"/>
        <w:numPr>
          <w:ilvl w:val="4"/>
          <w:numId w:val="0"/>
        </w:numPr>
        <w:wordWrap/>
        <w:overflowPunct/>
        <w:topLinePunct w:val="0"/>
        <w:bidi w:val="0"/>
        <w:adjustRightInd/>
        <w:spacing w:before="156" w:after="156" w:line="360" w:lineRule="auto"/>
        <w:ind w:leftChars="0"/>
        <w:rPr>
          <w:snapToGrid w:val="0"/>
          <w:color w:val="000000" w:themeColor="text1"/>
          <w:sz w:val="24"/>
          <w:szCs w:val="24"/>
          <w14:textFill>
            <w14:solidFill>
              <w14:schemeClr w14:val="tx1"/>
            </w14:solidFill>
          </w14:textFill>
        </w:rPr>
      </w:pPr>
      <w:r>
        <w:rPr>
          <w:rFonts w:hint="eastAsia"/>
          <w:snapToGrid w:val="0"/>
          <w:color w:val="000000" w:themeColor="text1"/>
          <w:sz w:val="24"/>
          <w:szCs w:val="24"/>
          <w:lang w:val="en-US" w:eastAsia="zh-CN"/>
          <w14:textFill>
            <w14:solidFill>
              <w14:schemeClr w14:val="tx1"/>
            </w14:solidFill>
          </w14:textFill>
        </w:rPr>
        <w:t xml:space="preserve">5.3.5.4 </w:t>
      </w:r>
      <w:r>
        <w:rPr>
          <w:rFonts w:hint="eastAsia"/>
          <w:snapToGrid w:val="0"/>
          <w:color w:val="000000" w:themeColor="text1"/>
          <w:sz w:val="24"/>
          <w:szCs w:val="24"/>
          <w14:textFill>
            <w14:solidFill>
              <w14:schemeClr w14:val="tx1"/>
            </w14:solidFill>
          </w14:textFill>
        </w:rPr>
        <w:t>硝化潜势差异率的测定</w:t>
      </w:r>
    </w:p>
    <w:p w14:paraId="5632B3A5">
      <w:pPr>
        <w:pStyle w:val="22"/>
        <w:keepNext w:val="0"/>
        <w:keepLines w:val="0"/>
        <w:pageBreakBefore w:val="0"/>
        <w:numPr>
          <w:ilvl w:val="5"/>
          <w:numId w:val="0"/>
        </w:numPr>
        <w:wordWrap/>
        <w:overflowPunct/>
        <w:topLinePunct w:val="0"/>
        <w:bidi w:val="0"/>
        <w:adjustRightInd/>
        <w:spacing w:before="156" w:after="156" w:line="360" w:lineRule="auto"/>
        <w:ind w:leftChars="0"/>
        <w:rPr>
          <w:snapToGrid w:val="0"/>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5.3.5.4.1 </w:t>
      </w:r>
      <w:r>
        <w:rPr>
          <w:rFonts w:hint="eastAsia"/>
          <w:color w:val="000000" w:themeColor="text1"/>
          <w:sz w:val="24"/>
          <w:szCs w:val="24"/>
          <w14:textFill>
            <w14:solidFill>
              <w14:schemeClr w14:val="tx1"/>
            </w14:solidFill>
          </w14:textFill>
        </w:rPr>
        <w:t>土壤培养及取样</w:t>
      </w:r>
    </w:p>
    <w:p w14:paraId="7222B54D">
      <w:pPr>
        <w:pStyle w:val="6"/>
        <w:keepNext w:val="0"/>
        <w:keepLines w:val="0"/>
        <w:pageBreakBefore w:val="0"/>
        <w:wordWrap/>
        <w:overflowPunct/>
        <w:topLinePunct w:val="0"/>
        <w:bidi w:val="0"/>
        <w:adjustRightInd/>
        <w:spacing w:line="360" w:lineRule="auto"/>
        <w:ind w:firstLine="420"/>
        <w:rPr>
          <w:snapToGrid w:val="0"/>
          <w:color w:val="000000" w:themeColor="text1"/>
          <w:sz w:val="24"/>
          <w:szCs w:val="24"/>
          <w14:textFill>
            <w14:solidFill>
              <w14:schemeClr w14:val="tx1"/>
            </w14:solidFill>
          </w14:textFill>
        </w:rPr>
      </w:pPr>
      <w:r>
        <w:rPr>
          <w:rFonts w:hint="eastAsia"/>
          <w:snapToGrid w:val="0"/>
          <w:color w:val="000000" w:themeColor="text1"/>
          <w:sz w:val="24"/>
          <w:szCs w:val="24"/>
          <w14:textFill>
            <w14:solidFill>
              <w14:schemeClr w14:val="tx1"/>
            </w14:solidFill>
          </w14:textFill>
        </w:rPr>
        <w:t>称取四份25.00 g的鲜土</w:t>
      </w:r>
      <w:r>
        <w:rPr>
          <w:rFonts w:hint="eastAsia"/>
          <w:snapToGrid w:val="0"/>
          <w:color w:val="000000" w:themeColor="text1"/>
          <w:sz w:val="24"/>
          <w:szCs w:val="24"/>
          <w:lang w:val="en-US" w:eastAsia="zh-CN"/>
          <w14:textFill>
            <w14:solidFill>
              <w14:schemeClr w14:val="tx1"/>
            </w14:solidFill>
          </w14:textFill>
        </w:rPr>
        <w:t>或者20.00 g的风干土</w:t>
      </w:r>
      <w:r>
        <w:rPr>
          <w:rFonts w:hint="eastAsia"/>
          <w:snapToGrid w:val="0"/>
          <w:color w:val="000000" w:themeColor="text1"/>
          <w:sz w:val="24"/>
          <w:szCs w:val="24"/>
          <w14:textFill>
            <w14:solidFill>
              <w14:schemeClr w14:val="tx1"/>
            </w14:solidFill>
          </w14:textFill>
        </w:rPr>
        <w:t>分别置于培养容器中，然后分别加入100 mL培养介质溶液，</w:t>
      </w:r>
      <w:r>
        <w:rPr>
          <w:rFonts w:hint="eastAsia"/>
          <w:snapToGrid w:val="0"/>
          <w:color w:val="000000" w:themeColor="text1"/>
          <w:sz w:val="24"/>
          <w:szCs w:val="24"/>
          <w:lang w:eastAsia="zh-CN"/>
          <w14:textFill>
            <w14:solidFill>
              <w14:schemeClr w14:val="tx1"/>
            </w14:solidFill>
          </w14:textFill>
        </w:rPr>
        <w:t>用</w:t>
      </w:r>
      <w:r>
        <w:rPr>
          <w:rFonts w:hint="eastAsia"/>
          <w:snapToGrid w:val="0"/>
          <w:color w:val="000000" w:themeColor="text1"/>
          <w:sz w:val="24"/>
          <w:szCs w:val="24"/>
          <w14:textFill>
            <w14:solidFill>
              <w14:schemeClr w14:val="tx1"/>
            </w14:solidFill>
          </w14:textFill>
        </w:rPr>
        <w:t>Para膜封口后，置于25 ℃、175 r/min震荡 2 h 后，取出10 mL悬浊液置于容器中，再加入10 mL氯化钾溶液混匀以停止氨氧化反应，间歇性用手摇晃5 min，充分混匀后立即过滤，获得待测液。同时每检测一批样品均进行4份土壤空白试样测试，土壤空白试样是在培养容器中加入土和100 mL无肥料氮的空白介质溶液，后续步骤同上。</w:t>
      </w:r>
    </w:p>
    <w:p w14:paraId="38924E8C">
      <w:pPr>
        <w:pStyle w:val="6"/>
        <w:keepNext w:val="0"/>
        <w:keepLines w:val="0"/>
        <w:pageBreakBefore w:val="0"/>
        <w:wordWrap/>
        <w:overflowPunct/>
        <w:topLinePunct w:val="0"/>
        <w:bidi w:val="0"/>
        <w:adjustRightInd/>
        <w:spacing w:line="360" w:lineRule="auto"/>
        <w:ind w:firstLine="420"/>
        <w:rPr>
          <w:snapToGrid w:val="0"/>
          <w:color w:val="000000" w:themeColor="text1"/>
          <w:sz w:val="24"/>
          <w:szCs w:val="24"/>
          <w14:textFill>
            <w14:solidFill>
              <w14:schemeClr w14:val="tx1"/>
            </w14:solidFill>
          </w14:textFill>
        </w:rPr>
      </w:pPr>
      <w:r>
        <w:rPr>
          <w:rFonts w:hint="eastAsia"/>
          <w:snapToGrid w:val="0"/>
          <w:color w:val="000000" w:themeColor="text1"/>
          <w:sz w:val="24"/>
          <w:szCs w:val="24"/>
          <w14:textFill>
            <w14:solidFill>
              <w14:schemeClr w14:val="tx1"/>
            </w14:solidFill>
          </w14:textFill>
        </w:rPr>
        <w:t>培养容器中</w:t>
      </w:r>
      <w:r>
        <w:rPr>
          <w:rFonts w:hint="eastAsia"/>
          <w:snapToGrid w:val="0"/>
          <w:color w:val="000000" w:themeColor="text1"/>
          <w:sz w:val="24"/>
          <w:szCs w:val="24"/>
          <w:lang w:eastAsia="zh-CN"/>
          <w14:textFill>
            <w14:solidFill>
              <w14:schemeClr w14:val="tx1"/>
            </w14:solidFill>
          </w14:textFill>
        </w:rPr>
        <w:t>剩余</w:t>
      </w:r>
      <w:r>
        <w:rPr>
          <w:rFonts w:hint="eastAsia"/>
          <w:snapToGrid w:val="0"/>
          <w:color w:val="000000" w:themeColor="text1"/>
          <w:sz w:val="24"/>
          <w:szCs w:val="24"/>
          <w14:textFill>
            <w14:solidFill>
              <w14:schemeClr w14:val="tx1"/>
            </w14:solidFill>
          </w14:textFill>
        </w:rPr>
        <w:t>的土壤悬浊液继续震荡至 6 h，随后取出10 m</w:t>
      </w:r>
      <w:r>
        <w:rPr>
          <w:rFonts w:hint="eastAsia"/>
          <w:snapToGrid w:val="0"/>
          <w:color w:val="000000" w:themeColor="text1"/>
          <w:sz w:val="24"/>
          <w:szCs w:val="24"/>
          <w:lang w:val="en-US" w:eastAsia="zh-CN"/>
          <w14:textFill>
            <w14:solidFill>
              <w14:schemeClr w14:val="tx1"/>
            </w14:solidFill>
          </w14:textFill>
        </w:rPr>
        <w:t>L</w:t>
      </w:r>
      <w:r>
        <w:rPr>
          <w:rFonts w:hint="eastAsia"/>
          <w:snapToGrid w:val="0"/>
          <w:color w:val="000000" w:themeColor="text1"/>
          <w:sz w:val="24"/>
          <w:szCs w:val="24"/>
          <w14:textFill>
            <w14:solidFill>
              <w14:schemeClr w14:val="tx1"/>
            </w14:solidFill>
          </w14:textFill>
        </w:rPr>
        <w:t>悬浊液置于容器中，后续步骤同上。</w:t>
      </w:r>
    </w:p>
    <w:p w14:paraId="5FDC2933">
      <w:pPr>
        <w:pStyle w:val="6"/>
        <w:keepNext w:val="0"/>
        <w:keepLines w:val="0"/>
        <w:pageBreakBefore w:val="0"/>
        <w:wordWrap/>
        <w:overflowPunct/>
        <w:topLinePunct w:val="0"/>
        <w:bidi w:val="0"/>
        <w:adjustRightInd/>
        <w:spacing w:line="360" w:lineRule="auto"/>
        <w:ind w:firstLine="420"/>
        <w:rPr>
          <w:snapToGrid w:val="0"/>
          <w:color w:val="000000" w:themeColor="text1"/>
          <w:sz w:val="24"/>
          <w:szCs w:val="24"/>
          <w14:textFill>
            <w14:solidFill>
              <w14:schemeClr w14:val="tx1"/>
            </w14:solidFill>
          </w14:textFill>
        </w:rPr>
      </w:pPr>
      <w:r>
        <w:rPr>
          <w:rFonts w:hint="eastAsia"/>
          <w:snapToGrid w:val="0"/>
          <w:color w:val="000000" w:themeColor="text1"/>
          <w:sz w:val="24"/>
          <w:szCs w:val="24"/>
          <w14:textFill>
            <w14:solidFill>
              <w14:schemeClr w14:val="tx1"/>
            </w14:solidFill>
          </w14:textFill>
        </w:rPr>
        <w:t>待测液应立即测定或者存储于4℃、24</w:t>
      </w:r>
      <w:r>
        <w:rPr>
          <w:rFonts w:hint="eastAsia"/>
          <w:snapToGrid w:val="0"/>
          <w:color w:val="000000" w:themeColor="text1"/>
          <w:sz w:val="24"/>
          <w:szCs w:val="24"/>
          <w:lang w:val="en-US" w:eastAsia="zh-CN"/>
          <w14:textFill>
            <w14:solidFill>
              <w14:schemeClr w14:val="tx1"/>
            </w14:solidFill>
          </w14:textFill>
        </w:rPr>
        <w:t xml:space="preserve"> </w:t>
      </w:r>
      <w:r>
        <w:rPr>
          <w:rFonts w:hint="eastAsia"/>
          <w:snapToGrid w:val="0"/>
          <w:color w:val="000000" w:themeColor="text1"/>
          <w:sz w:val="24"/>
          <w:szCs w:val="24"/>
          <w14:textFill>
            <w14:solidFill>
              <w14:schemeClr w14:val="tx1"/>
            </w14:solidFill>
          </w14:textFill>
        </w:rPr>
        <w:t>h内完成测定。</w:t>
      </w:r>
    </w:p>
    <w:p w14:paraId="6244F49A">
      <w:pPr>
        <w:pStyle w:val="22"/>
        <w:keepNext w:val="0"/>
        <w:keepLines w:val="0"/>
        <w:pageBreakBefore w:val="0"/>
        <w:numPr>
          <w:ilvl w:val="5"/>
          <w:numId w:val="0"/>
        </w:numPr>
        <w:wordWrap/>
        <w:overflowPunct/>
        <w:topLinePunct w:val="0"/>
        <w:bidi w:val="0"/>
        <w:adjustRightInd/>
        <w:spacing w:before="156" w:after="156" w:line="360" w:lineRule="auto"/>
        <w:ind w:leftChars="0"/>
        <w:rPr>
          <w:snapToGrid w:val="0"/>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5.3.5.4.2 </w:t>
      </w:r>
      <w:r>
        <w:rPr>
          <w:rFonts w:hint="eastAsia"/>
          <w:color w:val="000000" w:themeColor="text1"/>
          <w:sz w:val="24"/>
          <w:szCs w:val="24"/>
          <w14:textFill>
            <w14:solidFill>
              <w14:schemeClr w14:val="tx1"/>
            </w14:solidFill>
          </w14:textFill>
        </w:rPr>
        <w:t>亚硝态氮系列标准曲线溶液的制</w:t>
      </w:r>
      <w:r>
        <w:rPr>
          <w:rFonts w:hint="eastAsia"/>
          <w:color w:val="000000" w:themeColor="text1"/>
          <w:sz w:val="24"/>
          <w:szCs w:val="24"/>
          <w:lang w:val="en-US" w:eastAsia="zh-CN"/>
          <w14:textFill>
            <w14:solidFill>
              <w14:schemeClr w14:val="tx1"/>
            </w14:solidFill>
          </w14:textFill>
        </w:rPr>
        <w:t>备</w:t>
      </w:r>
      <w:r>
        <w:rPr>
          <w:rFonts w:hint="eastAsia"/>
          <w:color w:val="000000" w:themeColor="text1"/>
          <w:sz w:val="24"/>
          <w:szCs w:val="24"/>
          <w14:textFill>
            <w14:solidFill>
              <w14:schemeClr w14:val="tx1"/>
            </w14:solidFill>
          </w14:textFill>
        </w:rPr>
        <w:t>及含量测定</w:t>
      </w:r>
    </w:p>
    <w:p w14:paraId="0A68A50B">
      <w:pPr>
        <w:pStyle w:val="6"/>
        <w:keepNext w:val="0"/>
        <w:keepLines w:val="0"/>
        <w:pageBreakBefore w:val="0"/>
        <w:wordWrap/>
        <w:overflowPunct/>
        <w:topLinePunct w:val="0"/>
        <w:bidi w:val="0"/>
        <w:adjustRightInd/>
        <w:spacing w:line="360" w:lineRule="auto"/>
        <w:ind w:firstLine="42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按照GB/T 42485 中的方法测定。分别吸取0</w:t>
      </w:r>
      <w:r>
        <w:rPr>
          <w:color w:val="000000" w:themeColor="text1"/>
          <w:sz w:val="24"/>
          <w:szCs w:val="24"/>
          <w14:textFill>
            <w14:solidFill>
              <w14:schemeClr w14:val="tx1"/>
            </w14:solidFill>
          </w14:textFill>
        </w:rPr>
        <w:t xml:space="preserve"> mL</w:t>
      </w:r>
      <w:r>
        <w:rPr>
          <w:rFonts w:hint="eastAsia"/>
          <w:color w:val="000000" w:themeColor="text1"/>
          <w:sz w:val="24"/>
          <w:szCs w:val="24"/>
          <w14:textFill>
            <w14:solidFill>
              <w14:schemeClr w14:val="tx1"/>
            </w14:solidFill>
          </w14:textFill>
        </w:rPr>
        <w:t>、0.25</w:t>
      </w:r>
      <w:r>
        <w:rPr>
          <w:color w:val="000000" w:themeColor="text1"/>
          <w:sz w:val="24"/>
          <w:szCs w:val="24"/>
          <w14:textFill>
            <w14:solidFill>
              <w14:schemeClr w14:val="tx1"/>
            </w14:solidFill>
          </w14:textFill>
        </w:rPr>
        <w:t xml:space="preserve"> mL</w:t>
      </w:r>
      <w:r>
        <w:rPr>
          <w:rFonts w:hint="eastAsia"/>
          <w:color w:val="000000" w:themeColor="text1"/>
          <w:sz w:val="24"/>
          <w:szCs w:val="24"/>
          <w14:textFill>
            <w14:solidFill>
              <w14:schemeClr w14:val="tx1"/>
            </w14:solidFill>
          </w14:textFill>
        </w:rPr>
        <w:t>、0.5</w:t>
      </w:r>
      <w:r>
        <w:rPr>
          <w:color w:val="000000" w:themeColor="text1"/>
          <w:sz w:val="24"/>
          <w:szCs w:val="24"/>
          <w14:textFill>
            <w14:solidFill>
              <w14:schemeClr w14:val="tx1"/>
            </w14:solidFill>
          </w14:textFill>
        </w:rPr>
        <w:t xml:space="preserve"> mL</w:t>
      </w:r>
      <w:r>
        <w:rPr>
          <w:rFonts w:hint="eastAsia"/>
          <w:color w:val="000000" w:themeColor="text1"/>
          <w:sz w:val="24"/>
          <w:szCs w:val="24"/>
          <w14:textFill>
            <w14:solidFill>
              <w14:schemeClr w14:val="tx1"/>
            </w14:solidFill>
          </w14:textFill>
        </w:rPr>
        <w:t>、1</w:t>
      </w:r>
      <w:r>
        <w:rPr>
          <w:color w:val="000000" w:themeColor="text1"/>
          <w:sz w:val="24"/>
          <w:szCs w:val="24"/>
          <w14:textFill>
            <w14:solidFill>
              <w14:schemeClr w14:val="tx1"/>
            </w14:solidFill>
          </w14:textFill>
        </w:rPr>
        <w:t xml:space="preserve"> mL</w:t>
      </w:r>
      <w:r>
        <w:rPr>
          <w:rFonts w:hint="eastAsia"/>
          <w:color w:val="000000" w:themeColor="text1"/>
          <w:sz w:val="24"/>
          <w:szCs w:val="24"/>
          <w14:textFill>
            <w14:solidFill>
              <w14:schemeClr w14:val="tx1"/>
            </w14:solidFill>
          </w14:textFill>
        </w:rPr>
        <w:t>、2.5</w:t>
      </w:r>
      <w:r>
        <w:rPr>
          <w:color w:val="000000" w:themeColor="text1"/>
          <w:sz w:val="24"/>
          <w:szCs w:val="24"/>
          <w14:textFill>
            <w14:solidFill>
              <w14:schemeClr w14:val="tx1"/>
            </w14:solidFill>
          </w14:textFill>
        </w:rPr>
        <w:t>mL</w:t>
      </w:r>
      <w:r>
        <w:rPr>
          <w:rFonts w:hint="eastAsia"/>
          <w:color w:val="000000" w:themeColor="text1"/>
          <w:sz w:val="24"/>
          <w:szCs w:val="24"/>
          <w14:textFill>
            <w14:solidFill>
              <w14:schemeClr w14:val="tx1"/>
            </w14:solidFill>
          </w14:textFill>
        </w:rPr>
        <w:t>、5 m</w:t>
      </w:r>
      <w:r>
        <w:rPr>
          <w:color w:val="000000" w:themeColor="text1"/>
          <w:sz w:val="24"/>
          <w:szCs w:val="24"/>
          <w14:textFill>
            <w14:solidFill>
              <w14:schemeClr w14:val="tx1"/>
            </w14:solidFill>
          </w14:textFill>
        </w:rPr>
        <w:t>L</w:t>
      </w:r>
      <w:r>
        <w:rPr>
          <w:rFonts w:hint="eastAsia"/>
          <w:color w:val="000000" w:themeColor="text1"/>
          <w:sz w:val="24"/>
          <w:szCs w:val="24"/>
          <w14:textFill>
            <w14:solidFill>
              <w14:schemeClr w14:val="tx1"/>
            </w14:solidFill>
          </w14:textFill>
        </w:rPr>
        <w:t>的1 mg/L的亚硝态氮标准溶液于50 m</w:t>
      </w:r>
      <w:r>
        <w:rPr>
          <w:color w:val="000000" w:themeColor="text1"/>
          <w:sz w:val="24"/>
          <w:szCs w:val="24"/>
          <w14:textFill>
            <w14:solidFill>
              <w14:schemeClr w14:val="tx1"/>
            </w14:solidFill>
          </w14:textFill>
        </w:rPr>
        <w:t>L</w:t>
      </w:r>
      <w:r>
        <w:rPr>
          <w:rFonts w:hint="eastAsia"/>
          <w:color w:val="000000" w:themeColor="text1"/>
          <w:sz w:val="24"/>
          <w:szCs w:val="24"/>
          <w14:textFill>
            <w14:solidFill>
              <w14:schemeClr w14:val="tx1"/>
            </w14:solidFill>
          </w14:textFill>
        </w:rPr>
        <w:t>容量瓶中。同时，分别吸取5.00 m</w:t>
      </w:r>
      <w:r>
        <w:rPr>
          <w:color w:val="000000" w:themeColor="text1"/>
          <w:sz w:val="24"/>
          <w:szCs w:val="24"/>
          <w14:textFill>
            <w14:solidFill>
              <w14:schemeClr w14:val="tx1"/>
            </w14:solidFill>
          </w14:textFill>
        </w:rPr>
        <w:t>L</w:t>
      </w:r>
      <w:r>
        <w:rPr>
          <w:rFonts w:hint="eastAsia"/>
          <w:color w:val="000000" w:themeColor="text1"/>
          <w:sz w:val="24"/>
          <w:szCs w:val="24"/>
          <w14:textFill>
            <w14:solidFill>
              <w14:schemeClr w14:val="tx1"/>
            </w14:solidFill>
          </w14:textFill>
        </w:rPr>
        <w:t>样品待测液和空白待测液于另一组50 mL容量瓶中。每个容量瓶中均加水至40 mL，混匀后添加显色剂0.46 mL，用蒸馏水定容后混匀。定容后</w:t>
      </w:r>
      <w:r>
        <w:rPr>
          <w:rFonts w:hint="eastAsia"/>
          <w:color w:val="000000" w:themeColor="text1"/>
          <w:sz w:val="24"/>
          <w:szCs w:val="24"/>
          <w:lang w:val="en-US" w:eastAsia="zh-CN"/>
          <w14:textFill>
            <w14:solidFill>
              <w14:schemeClr w14:val="tx1"/>
            </w14:solidFill>
          </w14:textFill>
        </w:rPr>
        <w:t>混匀，</w:t>
      </w:r>
      <w:r>
        <w:rPr>
          <w:rFonts w:hint="eastAsia"/>
          <w:color w:val="000000" w:themeColor="text1"/>
          <w:sz w:val="24"/>
          <w:szCs w:val="24"/>
          <w14:textFill>
            <w14:solidFill>
              <w14:schemeClr w14:val="tx1"/>
            </w14:solidFill>
          </w14:textFill>
        </w:rPr>
        <w:t>获得亚硝态氮含量分别为0</w:t>
      </w:r>
      <w:r>
        <w:rPr>
          <w:color w:val="000000" w:themeColor="text1"/>
          <w:sz w:val="24"/>
          <w:szCs w:val="24"/>
          <w14:textFill>
            <w14:solidFill>
              <w14:schemeClr w14:val="tx1"/>
            </w14:solidFill>
          </w14:textFill>
        </w:rPr>
        <w:t xml:space="preserve"> </w:t>
      </w:r>
      <w:r>
        <w:rPr>
          <w:rFonts w:hint="eastAsia"/>
          <w:color w:val="000000" w:themeColor="text1"/>
          <w:sz w:val="24"/>
          <w:szCs w:val="24"/>
          <w14:textFill>
            <w14:solidFill>
              <w14:schemeClr w14:val="tx1"/>
            </w14:solidFill>
          </w14:textFill>
        </w:rPr>
        <w:t>mg/L、0.005</w:t>
      </w:r>
      <w:r>
        <w:rPr>
          <w:color w:val="000000" w:themeColor="text1"/>
          <w:sz w:val="24"/>
          <w:szCs w:val="24"/>
          <w14:textFill>
            <w14:solidFill>
              <w14:schemeClr w14:val="tx1"/>
            </w14:solidFill>
          </w14:textFill>
        </w:rPr>
        <w:t xml:space="preserve"> </w:t>
      </w:r>
      <w:r>
        <w:rPr>
          <w:rFonts w:hint="eastAsia"/>
          <w:color w:val="000000" w:themeColor="text1"/>
          <w:sz w:val="24"/>
          <w:szCs w:val="24"/>
          <w14:textFill>
            <w14:solidFill>
              <w14:schemeClr w14:val="tx1"/>
            </w14:solidFill>
          </w14:textFill>
        </w:rPr>
        <w:t>mg/L、0.01</w:t>
      </w:r>
      <w:r>
        <w:rPr>
          <w:color w:val="000000" w:themeColor="text1"/>
          <w:sz w:val="24"/>
          <w:szCs w:val="24"/>
          <w14:textFill>
            <w14:solidFill>
              <w14:schemeClr w14:val="tx1"/>
            </w14:solidFill>
          </w14:textFill>
        </w:rPr>
        <w:t xml:space="preserve"> </w:t>
      </w:r>
      <w:r>
        <w:rPr>
          <w:rFonts w:hint="eastAsia"/>
          <w:color w:val="000000" w:themeColor="text1"/>
          <w:sz w:val="24"/>
          <w:szCs w:val="24"/>
          <w14:textFill>
            <w14:solidFill>
              <w14:schemeClr w14:val="tx1"/>
            </w14:solidFill>
          </w14:textFill>
        </w:rPr>
        <w:t>mg/L、0.02</w:t>
      </w:r>
      <w:r>
        <w:rPr>
          <w:color w:val="000000" w:themeColor="text1"/>
          <w:sz w:val="24"/>
          <w:szCs w:val="24"/>
          <w14:textFill>
            <w14:solidFill>
              <w14:schemeClr w14:val="tx1"/>
            </w14:solidFill>
          </w14:textFill>
        </w:rPr>
        <w:t xml:space="preserve"> </w:t>
      </w:r>
      <w:r>
        <w:rPr>
          <w:rFonts w:hint="eastAsia"/>
          <w:color w:val="000000" w:themeColor="text1"/>
          <w:sz w:val="24"/>
          <w:szCs w:val="24"/>
          <w14:textFill>
            <w14:solidFill>
              <w14:schemeClr w14:val="tx1"/>
            </w14:solidFill>
          </w14:textFill>
        </w:rPr>
        <w:t>mg/L、0.05</w:t>
      </w:r>
      <w:r>
        <w:rPr>
          <w:color w:val="000000" w:themeColor="text1"/>
          <w:sz w:val="24"/>
          <w:szCs w:val="24"/>
          <w14:textFill>
            <w14:solidFill>
              <w14:schemeClr w14:val="tx1"/>
            </w14:solidFill>
          </w14:textFill>
        </w:rPr>
        <w:t xml:space="preserve"> </w:t>
      </w:r>
      <w:r>
        <w:rPr>
          <w:rFonts w:hint="eastAsia"/>
          <w:color w:val="000000" w:themeColor="text1"/>
          <w:sz w:val="24"/>
          <w:szCs w:val="24"/>
          <w14:textFill>
            <w14:solidFill>
              <w14:schemeClr w14:val="tx1"/>
            </w14:solidFill>
          </w14:textFill>
        </w:rPr>
        <w:t>mg/L、0.1 mg/L的亚硝态氮标准系列溶液以及样品测定溶液和空白测定溶液。</w:t>
      </w:r>
    </w:p>
    <w:p w14:paraId="6B905C74">
      <w:pPr>
        <w:pStyle w:val="6"/>
        <w:keepNext w:val="0"/>
        <w:keepLines w:val="0"/>
        <w:pageBreakBefore w:val="0"/>
        <w:wordWrap/>
        <w:overflowPunct/>
        <w:topLinePunct w:val="0"/>
        <w:bidi w:val="0"/>
        <w:adjustRightInd/>
        <w:spacing w:line="360" w:lineRule="auto"/>
        <w:ind w:firstLine="42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定容溶液室温下静置60-90 min后（避光显色），使用分光光度计在543 nm波长下测定标准曲线、样品和空白待测液显色后的吸光值。以亚硝态氮含量（mg/L）为横坐标，扣除零浓度的校正吸光值为纵坐标，绘制标准曲线。根据标准曲线公式计算待测液中亚硝态氮含量。</w:t>
      </w:r>
    </w:p>
    <w:p w14:paraId="1C37B698">
      <w:pPr>
        <w:pStyle w:val="6"/>
        <w:keepNext w:val="0"/>
        <w:keepLines w:val="0"/>
        <w:pageBreakBefore w:val="0"/>
        <w:wordWrap/>
        <w:overflowPunct/>
        <w:topLinePunct w:val="0"/>
        <w:bidi w:val="0"/>
        <w:adjustRightInd/>
        <w:spacing w:line="360" w:lineRule="auto"/>
        <w:ind w:firstLine="42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如果土壤浸提液中的亚硝态氮浓度超过标准曲线范围，则使用空白介质溶液适当的稀释浸提液，并重新测定。</w:t>
      </w:r>
    </w:p>
    <w:p w14:paraId="2064A0CA">
      <w:pPr>
        <w:pStyle w:val="22"/>
        <w:keepNext w:val="0"/>
        <w:keepLines w:val="0"/>
        <w:pageBreakBefore w:val="0"/>
        <w:numPr>
          <w:ilvl w:val="5"/>
          <w:numId w:val="0"/>
        </w:numPr>
        <w:wordWrap/>
        <w:overflowPunct/>
        <w:topLinePunct w:val="0"/>
        <w:bidi w:val="0"/>
        <w:adjustRightInd/>
        <w:spacing w:before="156" w:after="156"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5.3.5.4.3</w:t>
      </w:r>
      <w:r>
        <w:rPr>
          <w:rFonts w:hint="eastAsia"/>
          <w:color w:val="000000" w:themeColor="text1"/>
          <w:sz w:val="24"/>
          <w:szCs w:val="24"/>
          <w14:textFill>
            <w14:solidFill>
              <w14:schemeClr w14:val="tx1"/>
            </w14:solidFill>
          </w14:textFill>
        </w:rPr>
        <w:t>分析</w:t>
      </w:r>
      <w:r>
        <w:rPr>
          <w:color w:val="000000" w:themeColor="text1"/>
          <w:sz w:val="24"/>
          <w:szCs w:val="24"/>
          <w14:textFill>
            <w14:solidFill>
              <w14:schemeClr w14:val="tx1"/>
            </w14:solidFill>
          </w14:textFill>
        </w:rPr>
        <w:t>结果的计算和表述</w:t>
      </w:r>
    </w:p>
    <w:p w14:paraId="4F79285E">
      <w:pPr>
        <w:pStyle w:val="21"/>
        <w:keepNext w:val="0"/>
        <w:keepLines w:val="0"/>
        <w:pageBreakBefore w:val="0"/>
        <w:numPr>
          <w:ilvl w:val="4"/>
          <w:numId w:val="0"/>
        </w:numPr>
        <w:wordWrap/>
        <w:overflowPunct/>
        <w:topLinePunct w:val="0"/>
        <w:bidi w:val="0"/>
        <w:adjustRightInd/>
        <w:spacing w:before="156" w:after="156" w:line="360" w:lineRule="auto"/>
        <w:rPr>
          <w:snapToGrid w:val="0"/>
          <w:color w:val="000000" w:themeColor="text1"/>
          <w:spacing w:val="-5"/>
          <w:sz w:val="24"/>
          <w:szCs w:val="24"/>
          <w14:textFill>
            <w14:solidFill>
              <w14:schemeClr w14:val="tx1"/>
            </w14:solidFill>
          </w14:textFill>
        </w:rPr>
      </w:pPr>
      <w:r>
        <w:rPr>
          <w:rFonts w:hint="eastAsia"/>
          <w:color w:val="000000" w:themeColor="text1"/>
          <w:sz w:val="24"/>
          <w:szCs w:val="24"/>
          <w14:textFill>
            <w14:solidFill>
              <w14:schemeClr w14:val="tx1"/>
            </w14:solidFill>
          </w14:textFill>
        </w:rPr>
        <w:t>（1）</w:t>
      </w:r>
      <w:r>
        <w:rPr>
          <w:color w:val="000000" w:themeColor="text1"/>
          <w:sz w:val="24"/>
          <w:szCs w:val="24"/>
          <w14:textFill>
            <w14:solidFill>
              <w14:schemeClr w14:val="tx1"/>
            </w14:solidFill>
          </w14:textFill>
        </w:rPr>
        <w:t>亚硝态氮含量的计算</w:t>
      </w:r>
    </w:p>
    <w:p w14:paraId="760E86D2">
      <w:pPr>
        <w:pStyle w:val="6"/>
        <w:keepNext w:val="0"/>
        <w:keepLines w:val="0"/>
        <w:pageBreakBefore w:val="0"/>
        <w:wordWrap/>
        <w:overflowPunct/>
        <w:topLinePunct w:val="0"/>
        <w:bidi w:val="0"/>
        <w:adjustRightInd/>
        <w:spacing w:line="360" w:lineRule="auto"/>
        <w:ind w:firstLine="420"/>
        <w:rPr>
          <w:snapToGrid w:val="0"/>
          <w:color w:val="000000" w:themeColor="text1"/>
          <w:sz w:val="24"/>
          <w:szCs w:val="24"/>
          <w14:textFill>
            <w14:solidFill>
              <w14:schemeClr w14:val="tx1"/>
            </w14:solidFill>
          </w14:textFill>
        </w:rPr>
      </w:pPr>
      <w:r>
        <w:rPr>
          <w:rFonts w:hint="eastAsia"/>
          <w:snapToGrid w:val="0"/>
          <w:color w:val="000000" w:themeColor="text1"/>
          <w:sz w:val="24"/>
          <w:szCs w:val="24"/>
          <w14:textFill>
            <w14:solidFill>
              <w14:schemeClr w14:val="tx1"/>
            </w14:solidFill>
          </w14:textFill>
        </w:rPr>
        <w:t>从标准曲线上查得待测液的亚硝态氮含量后，按式（</w:t>
      </w:r>
      <w:r>
        <w:rPr>
          <w:snapToGrid w:val="0"/>
          <w:color w:val="000000" w:themeColor="text1"/>
          <w:sz w:val="24"/>
          <w:szCs w:val="24"/>
          <w14:textFill>
            <w14:solidFill>
              <w14:schemeClr w14:val="tx1"/>
            </w14:solidFill>
          </w14:textFill>
        </w:rPr>
        <w:t>3</w:t>
      </w:r>
      <w:r>
        <w:rPr>
          <w:rFonts w:hint="eastAsia"/>
          <w:snapToGrid w:val="0"/>
          <w:color w:val="000000" w:themeColor="text1"/>
          <w:sz w:val="24"/>
          <w:szCs w:val="24"/>
          <w14:textFill>
            <w14:solidFill>
              <w14:schemeClr w14:val="tx1"/>
            </w14:solidFill>
          </w14:textFill>
        </w:rPr>
        <w:t>）计算土壤中亚硝态氮的含量</w:t>
      </w:r>
      <w:r>
        <w:rPr>
          <w:rFonts w:hint="eastAsia"/>
          <w:snapToGrid w:val="0"/>
          <w:color w:val="000000" w:themeColor="text1"/>
          <w:sz w:val="24"/>
          <w:szCs w:val="24"/>
          <w:lang w:eastAsia="zh-CN"/>
          <w14:textFill>
            <w14:solidFill>
              <w14:schemeClr w14:val="tx1"/>
            </w14:solidFill>
          </w14:textFill>
        </w:rPr>
        <w:t>（</w:t>
      </w:r>
      <w:r>
        <w:rPr>
          <w:rFonts w:hint="eastAsia"/>
          <w:snapToGrid w:val="0"/>
          <w:color w:val="000000" w:themeColor="text1"/>
          <w:sz w:val="24"/>
          <w:szCs w:val="24"/>
          <w:lang w:val="en-US" w:eastAsia="zh-CN"/>
          <w14:textFill>
            <w14:solidFill>
              <w14:schemeClr w14:val="tx1"/>
            </w14:solidFill>
          </w14:textFill>
        </w:rPr>
        <w:t>X</w:t>
      </w:r>
      <w:r>
        <w:rPr>
          <w:rFonts w:hint="eastAsia"/>
          <w:snapToGrid w:val="0"/>
          <w:color w:val="000000" w:themeColor="text1"/>
          <w:sz w:val="24"/>
          <w:szCs w:val="24"/>
          <w:lang w:eastAsia="zh-CN"/>
          <w14:textFill>
            <w14:solidFill>
              <w14:schemeClr w14:val="tx1"/>
            </w14:solidFill>
          </w14:textFill>
        </w:rPr>
        <w:t>），</w:t>
      </w:r>
      <w:r>
        <w:rPr>
          <w:rFonts w:hint="eastAsia"/>
          <w:snapToGrid w:val="0"/>
          <w:color w:val="000000" w:themeColor="text1"/>
          <w:sz w:val="24"/>
          <w:szCs w:val="24"/>
          <w14:textFill>
            <w14:solidFill>
              <w14:schemeClr w14:val="tx1"/>
            </w14:solidFill>
          </w14:textFill>
        </w:rPr>
        <w:t>单位是mg/kg：</w:t>
      </w:r>
    </w:p>
    <w:p w14:paraId="26571CFA">
      <w:pPr>
        <w:keepNext w:val="0"/>
        <w:keepLines w:val="0"/>
        <w:pageBreakBefore w:val="0"/>
        <w:widowControl/>
        <w:kinsoku w:val="0"/>
        <w:wordWrap/>
        <w:overflowPunct/>
        <w:topLinePunct w:val="0"/>
        <w:autoSpaceDE w:val="0"/>
        <w:autoSpaceDN w:val="0"/>
        <w:bidi w:val="0"/>
        <w:adjustRightInd/>
        <w:snapToGrid w:val="0"/>
        <w:spacing w:before="120" w:line="360" w:lineRule="auto"/>
        <w:ind w:firstLine="470" w:firstLineChars="200"/>
        <w:jc w:val="center"/>
        <w:textAlignment w:val="baseline"/>
        <w:rPr>
          <w:snapToGrid w:val="0"/>
          <w:color w:val="000000" w:themeColor="text1"/>
          <w:sz w:val="24"/>
          <w:szCs w:val="24"/>
          <w14:textFill>
            <w14:solidFill>
              <w14:schemeClr w14:val="tx1"/>
            </w14:solidFill>
          </w14:textFill>
        </w:rPr>
      </w:pPr>
      <w:r>
        <w:rPr>
          <w:rFonts w:hint="eastAsia" w:ascii="Times New Roman" w:hAnsi="Times New Roman"/>
          <w:b/>
          <w:bCs/>
          <w:snapToGrid w:val="0"/>
          <w:color w:val="000000" w:themeColor="text1"/>
          <w:spacing w:val="-3"/>
          <w:kern w:val="0"/>
          <w:sz w:val="24"/>
          <w:szCs w:val="24"/>
          <w:lang w:val="en-US" w:eastAsia="zh-CN"/>
          <w14:textFill>
            <w14:solidFill>
              <w14:schemeClr w14:val="tx1"/>
            </w14:solidFill>
          </w14:textFill>
        </w:rPr>
        <w:t xml:space="preserve">                X </w:t>
      </w:r>
      <w:r>
        <w:rPr>
          <w:rFonts w:ascii="Times New Roman" w:hAnsi="Times New Roman"/>
          <w:b/>
          <w:bCs/>
          <w:snapToGrid w:val="0"/>
          <w:color w:val="000000" w:themeColor="text1"/>
          <w:spacing w:val="-3"/>
          <w:kern w:val="0"/>
          <w:sz w:val="24"/>
          <w:szCs w:val="24"/>
          <w14:textFill>
            <w14:solidFill>
              <w14:schemeClr w14:val="tx1"/>
            </w14:solidFill>
          </w14:textFill>
        </w:rPr>
        <w:t>=</w:t>
      </w:r>
      <w:r>
        <w:rPr>
          <w:rFonts w:hint="eastAsia" w:ascii="Times New Roman" w:hAnsi="Times New Roman"/>
          <w:b/>
          <w:bCs/>
          <w:snapToGrid w:val="0"/>
          <w:color w:val="000000" w:themeColor="text1"/>
          <w:spacing w:val="-3"/>
          <w:kern w:val="0"/>
          <w:sz w:val="24"/>
          <w:szCs w:val="24"/>
          <w:lang w:val="en-US" w:eastAsia="zh-CN"/>
          <w14:textFill>
            <w14:solidFill>
              <w14:schemeClr w14:val="tx1"/>
            </w14:solidFill>
          </w14:textFill>
        </w:rPr>
        <w:t xml:space="preserve"> </w:t>
      </w:r>
      <m:oMath>
        <m:r>
          <m:rPr>
            <m:sty m:val="p"/>
          </m:rPr>
          <w:rPr>
            <w:rFonts w:hint="default" w:ascii="Times New Roman" w:hAnsi="Times New Roman" w:cs="Times New Roman"/>
            <w:snapToGrid w:val="0"/>
            <w:color w:val="000000" w:themeColor="text1"/>
            <w:sz w:val="24"/>
            <w:szCs w:val="24"/>
            <w14:textFill>
              <w14:solidFill>
                <w14:schemeClr w14:val="tx1"/>
              </w14:solidFill>
            </w14:textFill>
          </w:rPr>
          <m:t>ρ</m:t>
        </m:r>
        <m:r>
          <m:rPr>
            <m:sty m:val="bi"/>
          </m:rPr>
          <w:rPr>
            <w:rFonts w:ascii="Cambria Math" w:hAnsi="Cambria Math"/>
            <w:snapToGrid w:val="0"/>
            <w:color w:val="000000" w:themeColor="text1"/>
            <w:spacing w:val="-1"/>
            <w:kern w:val="0"/>
            <w:sz w:val="24"/>
            <w:szCs w:val="24"/>
            <w14:textFill>
              <w14:solidFill>
                <w14:schemeClr w14:val="tx1"/>
              </w14:solidFill>
            </w14:textFill>
          </w:rPr>
          <m:t>×</m:t>
        </m:r>
        <m:f>
          <m:fPr>
            <m:ctrlPr>
              <w:rPr>
                <w:rFonts w:ascii="Cambria Math" w:hAnsi="Cambria Math"/>
                <w:b/>
                <w:bCs/>
                <w:i/>
                <w:snapToGrid w:val="0"/>
                <w:color w:val="000000" w:themeColor="text1"/>
                <w:spacing w:val="-1"/>
                <w:kern w:val="0"/>
                <w:sz w:val="24"/>
                <w:szCs w:val="24"/>
                <w14:textFill>
                  <w14:solidFill>
                    <w14:schemeClr w14:val="tx1"/>
                  </w14:solidFill>
                </w14:textFill>
              </w:rPr>
            </m:ctrlPr>
          </m:fPr>
          <m:num>
            <m:r>
              <m:rPr>
                <m:sty m:val="bi"/>
              </m:rPr>
              <w:rPr>
                <w:rFonts w:ascii="Cambria Math" w:hAnsi="Cambria Math"/>
                <w:snapToGrid w:val="0"/>
                <w:color w:val="000000" w:themeColor="text1"/>
                <w:spacing w:val="-1"/>
                <w:kern w:val="0"/>
                <w:sz w:val="24"/>
                <w:szCs w:val="24"/>
                <w14:textFill>
                  <w14:solidFill>
                    <w14:schemeClr w14:val="tx1"/>
                  </w14:solidFill>
                </w14:textFill>
              </w:rPr>
              <m:t>V2</m:t>
            </m:r>
            <m:ctrlPr>
              <w:rPr>
                <w:rFonts w:ascii="Cambria Math" w:hAnsi="Cambria Math"/>
                <w:b/>
                <w:bCs/>
                <w:i/>
                <w:snapToGrid w:val="0"/>
                <w:color w:val="000000" w:themeColor="text1"/>
                <w:spacing w:val="-1"/>
                <w:kern w:val="0"/>
                <w:sz w:val="24"/>
                <w:szCs w:val="24"/>
                <w14:textFill>
                  <w14:solidFill>
                    <w14:schemeClr w14:val="tx1"/>
                  </w14:solidFill>
                </w14:textFill>
              </w:rPr>
            </m:ctrlPr>
          </m:num>
          <m:den>
            <m:r>
              <m:rPr>
                <m:sty m:val="bi"/>
              </m:rPr>
              <w:rPr>
                <w:rFonts w:ascii="Cambria Math" w:hAnsi="Cambria Math"/>
                <w:snapToGrid w:val="0"/>
                <w:color w:val="000000" w:themeColor="text1"/>
                <w:spacing w:val="-1"/>
                <w:kern w:val="0"/>
                <w:sz w:val="24"/>
                <w:szCs w:val="24"/>
                <w14:textFill>
                  <w14:solidFill>
                    <w14:schemeClr w14:val="tx1"/>
                  </w14:solidFill>
                </w14:textFill>
              </w:rPr>
              <m:t>m</m:t>
            </m:r>
            <m:ctrlPr>
              <w:rPr>
                <w:rFonts w:ascii="Cambria Math" w:hAnsi="Cambria Math"/>
                <w:b/>
                <w:bCs/>
                <w:i/>
                <w:snapToGrid w:val="0"/>
                <w:color w:val="000000" w:themeColor="text1"/>
                <w:spacing w:val="-1"/>
                <w:kern w:val="0"/>
                <w:sz w:val="24"/>
                <w:szCs w:val="24"/>
                <w14:textFill>
                  <w14:solidFill>
                    <w14:schemeClr w14:val="tx1"/>
                  </w14:solidFill>
                </w14:textFill>
              </w:rPr>
            </m:ctrlPr>
          </m:den>
        </m:f>
        <m:r>
          <m:rPr>
            <m:sty m:val="bi"/>
          </m:rPr>
          <w:rPr>
            <w:rFonts w:ascii="Cambria Math" w:hAnsi="Cambria Math"/>
            <w:snapToGrid w:val="0"/>
            <w:color w:val="000000" w:themeColor="text1"/>
            <w:spacing w:val="-1"/>
            <w:kern w:val="0"/>
            <w:sz w:val="24"/>
            <w:szCs w:val="24"/>
            <w14:textFill>
              <w14:solidFill>
                <w14:schemeClr w14:val="tx1"/>
              </w14:solidFill>
            </w14:textFill>
          </w:rPr>
          <m:t>×</m:t>
        </m:r>
        <m:f>
          <m:fPr>
            <m:ctrlPr>
              <w:rPr>
                <w:rFonts w:ascii="Cambria Math" w:hAnsi="Cambria Math"/>
                <w:b/>
                <w:bCs/>
                <w:i/>
                <w:snapToGrid w:val="0"/>
                <w:color w:val="000000" w:themeColor="text1"/>
                <w:spacing w:val="-1"/>
                <w:kern w:val="0"/>
                <w:sz w:val="24"/>
                <w:szCs w:val="24"/>
                <w14:textFill>
                  <w14:solidFill>
                    <w14:schemeClr w14:val="tx1"/>
                  </w14:solidFill>
                </w14:textFill>
              </w:rPr>
            </m:ctrlPr>
          </m:fPr>
          <m:num>
            <m:r>
              <m:rPr>
                <m:sty m:val="bi"/>
              </m:rPr>
              <w:rPr>
                <w:rFonts w:ascii="Cambria Math" w:hAnsi="Cambria Math"/>
                <w:snapToGrid w:val="0"/>
                <w:color w:val="000000" w:themeColor="text1"/>
                <w:spacing w:val="-1"/>
                <w:kern w:val="0"/>
                <w:sz w:val="24"/>
                <w:szCs w:val="24"/>
                <w14:textFill>
                  <w14:solidFill>
                    <w14:schemeClr w14:val="tx1"/>
                  </w14:solidFill>
                </w14:textFill>
              </w:rPr>
              <m:t>V</m:t>
            </m:r>
            <m:ctrlPr>
              <w:rPr>
                <w:rFonts w:ascii="Cambria Math" w:hAnsi="Cambria Math"/>
                <w:b/>
                <w:bCs/>
                <w:i/>
                <w:snapToGrid w:val="0"/>
                <w:color w:val="000000" w:themeColor="text1"/>
                <w:spacing w:val="-1"/>
                <w:kern w:val="0"/>
                <w:sz w:val="24"/>
                <w:szCs w:val="24"/>
                <w14:textFill>
                  <w14:solidFill>
                    <w14:schemeClr w14:val="tx1"/>
                  </w14:solidFill>
                </w14:textFill>
              </w:rPr>
            </m:ctrlPr>
          </m:num>
          <m:den>
            <m:r>
              <m:rPr>
                <m:sty m:val="bi"/>
              </m:rPr>
              <w:rPr>
                <w:rFonts w:ascii="Cambria Math" w:hAnsi="Cambria Math"/>
                <w:snapToGrid w:val="0"/>
                <w:color w:val="000000" w:themeColor="text1"/>
                <w:spacing w:val="-1"/>
                <w:kern w:val="0"/>
                <w:sz w:val="24"/>
                <w:szCs w:val="24"/>
                <w14:textFill>
                  <w14:solidFill>
                    <w14:schemeClr w14:val="tx1"/>
                  </w14:solidFill>
                </w14:textFill>
              </w:rPr>
              <m:t>V1</m:t>
            </m:r>
            <m:ctrlPr>
              <w:rPr>
                <w:rFonts w:ascii="Cambria Math" w:hAnsi="Cambria Math"/>
                <w:b/>
                <w:bCs/>
                <w:i/>
                <w:snapToGrid w:val="0"/>
                <w:color w:val="000000" w:themeColor="text1"/>
                <w:spacing w:val="-1"/>
                <w:kern w:val="0"/>
                <w:sz w:val="24"/>
                <w:szCs w:val="24"/>
                <w14:textFill>
                  <w14:solidFill>
                    <w14:schemeClr w14:val="tx1"/>
                  </w14:solidFill>
                </w14:textFill>
              </w:rPr>
            </m:ctrlPr>
          </m:den>
        </m:f>
        <m:r>
          <m:rPr>
            <m:sty m:val="bi"/>
          </m:rPr>
          <w:rPr>
            <w:rFonts w:ascii="Cambria Math" w:hAnsi="Cambria Math"/>
            <w:snapToGrid w:val="0"/>
            <w:color w:val="000000" w:themeColor="text1"/>
            <w:spacing w:val="-1"/>
            <w:kern w:val="0"/>
            <w:sz w:val="24"/>
            <w:szCs w:val="24"/>
            <w14:textFill>
              <w14:solidFill>
                <w14:schemeClr w14:val="tx1"/>
              </w14:solidFill>
            </w14:textFill>
          </w:rPr>
          <m:t>×2×</m:t>
        </m:r>
        <m:r>
          <m:rPr>
            <m:nor/>
            <m:sty m:val="b"/>
          </m:rPr>
          <w:rPr>
            <w:rFonts w:hint="eastAsia" w:ascii="Times New Roman" w:hAnsi="Times New Roman"/>
            <w:b/>
            <w:bCs/>
            <w:snapToGrid w:val="0"/>
            <w:color w:val="000000" w:themeColor="text1"/>
            <w:spacing w:val="-1"/>
            <w:kern w:val="0"/>
            <w:sz w:val="24"/>
            <w:szCs w:val="24"/>
            <w14:textFill>
              <w14:solidFill>
                <w14:schemeClr w14:val="tx1"/>
              </w14:solidFill>
            </w14:textFill>
          </w:rPr>
          <m:t>（</m:t>
        </m:r>
        <m:r>
          <m:rPr>
            <m:nor/>
            <m:sty m:val="b"/>
          </m:rPr>
          <w:rPr>
            <w:rFonts w:hint="eastAsia" w:ascii="Cambria Math" w:hAnsi="Cambria Math"/>
            <w:b/>
            <w:bCs/>
            <w:snapToGrid w:val="0"/>
            <w:color w:val="000000" w:themeColor="text1"/>
            <w:spacing w:val="-1"/>
            <w:kern w:val="0"/>
            <w:sz w:val="24"/>
            <w:szCs w:val="24"/>
            <w14:textFill>
              <w14:solidFill>
                <w14:schemeClr w14:val="tx1"/>
              </w14:solidFill>
            </w14:textFill>
          </w:rPr>
          <m:t>1+</m:t>
        </m:r>
        <m:f>
          <m:fPr>
            <m:ctrlPr>
              <w:rPr>
                <w:rFonts w:ascii="Cambria Math" w:hAnsi="Cambria Math"/>
                <w:b/>
                <w:bCs/>
                <w:i/>
                <w:snapToGrid w:val="0"/>
                <w:color w:val="000000" w:themeColor="text1"/>
                <w:spacing w:val="-1"/>
                <w:kern w:val="0"/>
                <w:sz w:val="24"/>
                <w:szCs w:val="24"/>
                <w14:textFill>
                  <w14:solidFill>
                    <w14:schemeClr w14:val="tx1"/>
                  </w14:solidFill>
                </w14:textFill>
              </w:rPr>
            </m:ctrlPr>
          </m:fPr>
          <m:num>
            <m:r>
              <m:rPr>
                <m:sty m:val="bi"/>
              </m:rPr>
              <w:rPr>
                <w:rFonts w:ascii="Cambria Math" w:hAnsi="Cambria Math"/>
                <w:snapToGrid w:val="0"/>
                <w:color w:val="000000" w:themeColor="text1"/>
                <w:spacing w:val="-1"/>
                <w:kern w:val="0"/>
                <w:sz w:val="24"/>
                <w:szCs w:val="24"/>
                <w14:textFill>
                  <w14:solidFill>
                    <w14:schemeClr w14:val="tx1"/>
                  </w14:solidFill>
                </w14:textFill>
              </w:rPr>
              <m:t>w</m:t>
            </m:r>
            <m:ctrlPr>
              <w:rPr>
                <w:rFonts w:ascii="Cambria Math" w:hAnsi="Cambria Math"/>
                <w:b/>
                <w:bCs/>
                <w:i/>
                <w:snapToGrid w:val="0"/>
                <w:color w:val="000000" w:themeColor="text1"/>
                <w:spacing w:val="-1"/>
                <w:kern w:val="0"/>
                <w:sz w:val="24"/>
                <w:szCs w:val="24"/>
                <w14:textFill>
                  <w14:solidFill>
                    <w14:schemeClr w14:val="tx1"/>
                  </w14:solidFill>
                </w14:textFill>
              </w:rPr>
            </m:ctrlPr>
          </m:num>
          <m:den>
            <m:r>
              <m:rPr>
                <m:sty m:val="bi"/>
              </m:rPr>
              <w:rPr>
                <w:rFonts w:ascii="Cambria Math" w:hAnsi="Cambria Math"/>
                <w:snapToGrid w:val="0"/>
                <w:color w:val="000000" w:themeColor="text1"/>
                <w:spacing w:val="-1"/>
                <w:kern w:val="0"/>
                <w:sz w:val="24"/>
                <w:szCs w:val="24"/>
                <w14:textFill>
                  <w14:solidFill>
                    <w14:schemeClr w14:val="tx1"/>
                  </w14:solidFill>
                </w14:textFill>
              </w:rPr>
              <m:t>100</m:t>
            </m:r>
            <m:ctrlPr>
              <w:rPr>
                <w:rFonts w:ascii="Cambria Math" w:hAnsi="Cambria Math"/>
                <w:b/>
                <w:bCs/>
                <w:i/>
                <w:snapToGrid w:val="0"/>
                <w:color w:val="000000" w:themeColor="text1"/>
                <w:spacing w:val="-1"/>
                <w:kern w:val="0"/>
                <w:sz w:val="24"/>
                <w:szCs w:val="24"/>
                <w14:textFill>
                  <w14:solidFill>
                    <w14:schemeClr w14:val="tx1"/>
                  </w14:solidFill>
                </w14:textFill>
              </w:rPr>
            </m:ctrlPr>
          </m:den>
        </m:f>
        <m:r>
          <m:rPr>
            <m:sty m:val="b"/>
          </m:rPr>
          <w:rPr>
            <w:rFonts w:hint="eastAsia" w:ascii="Cambria Math" w:hAnsi="Cambria Math"/>
            <w:snapToGrid w:val="0"/>
            <w:color w:val="000000" w:themeColor="text1"/>
            <w:spacing w:val="-1"/>
            <w:kern w:val="0"/>
            <w:sz w:val="24"/>
            <w:szCs w:val="24"/>
            <w14:textFill>
              <w14:solidFill>
                <w14:schemeClr w14:val="tx1"/>
              </w14:solidFill>
            </w14:textFill>
          </w:rPr>
          <m:t>）</m:t>
        </m:r>
      </m:oMath>
      <w:r>
        <w:rPr>
          <w:rFonts w:ascii="Times New Roman" w:hAnsi="Times New Roman"/>
          <w:b/>
          <w:bCs/>
          <w:snapToGrid w:val="0"/>
          <w:color w:val="000000" w:themeColor="text1"/>
          <w:spacing w:val="-3"/>
          <w:kern w:val="0"/>
          <w:sz w:val="24"/>
          <w:szCs w:val="24"/>
          <w14:textFill>
            <w14:solidFill>
              <w14:schemeClr w14:val="tx1"/>
            </w14:solidFill>
          </w14:textFill>
        </w:rPr>
        <w:t xml:space="preserve"> </w:t>
      </w:r>
      <w:r>
        <w:rPr>
          <w:rFonts w:hint="eastAsia" w:ascii="Times New Roman"/>
          <w:color w:val="000000" w:themeColor="text1"/>
          <w:sz w:val="24"/>
          <w:szCs w:val="24"/>
          <w:lang w:val="pt-BR"/>
          <w14:textFill>
            <w14:solidFill>
              <w14:schemeClr w14:val="tx1"/>
            </w14:solidFill>
          </w14:textFill>
        </w:rPr>
        <w:t>…………………</w:t>
      </w:r>
      <w:r>
        <w:rPr>
          <w:rFonts w:hint="eastAsia" w:ascii="Times New Roman"/>
          <w:color w:val="000000" w:themeColor="text1"/>
          <w:sz w:val="24"/>
          <w:szCs w:val="24"/>
          <w:lang w:val="en-US" w:eastAsia="zh-CN"/>
          <w14:textFill>
            <w14:solidFill>
              <w14:schemeClr w14:val="tx1"/>
            </w14:solidFill>
          </w14:textFill>
        </w:rPr>
        <w:t xml:space="preserve"> </w:t>
      </w:r>
      <w:r>
        <w:rPr>
          <w:rFonts w:ascii="Times New Roman" w:hAnsi="Times New Roman"/>
          <w:snapToGrid w:val="0"/>
          <w:color w:val="000000" w:themeColor="text1"/>
          <w:spacing w:val="-56"/>
          <w:kern w:val="0"/>
          <w:sz w:val="24"/>
          <w:szCs w:val="24"/>
          <w14:textFill>
            <w14:solidFill>
              <w14:schemeClr w14:val="tx1"/>
            </w14:solidFill>
          </w14:textFill>
        </w:rPr>
        <w:t xml:space="preserve"> </w:t>
      </w:r>
      <w:r>
        <w:rPr>
          <w:rFonts w:ascii="Times New Roman" w:hAnsi="Times New Roman"/>
          <w:snapToGrid w:val="0"/>
          <w:color w:val="000000" w:themeColor="text1"/>
          <w:spacing w:val="-15"/>
          <w:kern w:val="0"/>
          <w:sz w:val="24"/>
          <w:szCs w:val="24"/>
          <w14:textFill>
            <w14:solidFill>
              <w14:schemeClr w14:val="tx1"/>
            </w14:solidFill>
          </w14:textFill>
        </w:rPr>
        <w:t>(</w:t>
      </w:r>
      <w:r>
        <w:rPr>
          <w:color w:val="000000" w:themeColor="text1"/>
          <w:sz w:val="24"/>
          <w:szCs w:val="24"/>
          <w14:textFill>
            <w14:solidFill>
              <w14:schemeClr w14:val="tx1"/>
            </w14:solidFill>
          </w14:textFill>
        </w:rPr>
        <w:fldChar w:fldCharType="begin"/>
      </w:r>
      <w:r>
        <w:rPr>
          <w:color w:val="000000" w:themeColor="text1"/>
          <w:sz w:val="24"/>
          <w:szCs w:val="24"/>
          <w14:textFill>
            <w14:solidFill>
              <w14:schemeClr w14:val="tx1"/>
            </w14:solidFill>
          </w14:textFill>
        </w:rPr>
        <w:instrText xml:space="preserve"> HYPERLINK \l "_bookmark3" </w:instrText>
      </w:r>
      <w:r>
        <w:rPr>
          <w:color w:val="000000" w:themeColor="text1"/>
          <w:sz w:val="24"/>
          <w:szCs w:val="24"/>
          <w14:textFill>
            <w14:solidFill>
              <w14:schemeClr w14:val="tx1"/>
            </w14:solidFill>
          </w14:textFill>
        </w:rPr>
        <w:fldChar w:fldCharType="separate"/>
      </w:r>
      <w:r>
        <w:rPr>
          <w:rFonts w:hint="eastAsia" w:ascii="Times New Roman" w:hAnsi="Times New Roman"/>
          <w:snapToGrid w:val="0"/>
          <w:color w:val="000000" w:themeColor="text1"/>
          <w:spacing w:val="-15"/>
          <w:kern w:val="0"/>
          <w:sz w:val="24"/>
          <w:szCs w:val="24"/>
          <w14:textFill>
            <w14:solidFill>
              <w14:schemeClr w14:val="tx1"/>
            </w14:solidFill>
          </w14:textFill>
        </w:rPr>
        <w:t>3</w:t>
      </w:r>
      <w:r>
        <w:rPr>
          <w:rFonts w:ascii="Times New Roman" w:hAnsi="Times New Roman"/>
          <w:snapToGrid w:val="0"/>
          <w:color w:val="000000" w:themeColor="text1"/>
          <w:spacing w:val="-15"/>
          <w:kern w:val="0"/>
          <w:sz w:val="24"/>
          <w:szCs w:val="24"/>
          <w14:textFill>
            <w14:solidFill>
              <w14:schemeClr w14:val="tx1"/>
            </w14:solidFill>
          </w14:textFill>
        </w:rPr>
        <w:t>)</w:t>
      </w:r>
      <w:r>
        <w:rPr>
          <w:rFonts w:ascii="Times New Roman" w:hAnsi="Times New Roman"/>
          <w:snapToGrid w:val="0"/>
          <w:color w:val="000000" w:themeColor="text1"/>
          <w:spacing w:val="-15"/>
          <w:kern w:val="0"/>
          <w:sz w:val="24"/>
          <w:szCs w:val="24"/>
          <w14:textFill>
            <w14:solidFill>
              <w14:schemeClr w14:val="tx1"/>
            </w14:solidFill>
          </w14:textFill>
        </w:rPr>
        <w:fldChar w:fldCharType="end"/>
      </w:r>
    </w:p>
    <w:p w14:paraId="76FF71DE">
      <w:pPr>
        <w:pStyle w:val="6"/>
        <w:keepNext w:val="0"/>
        <w:keepLines w:val="0"/>
        <w:pageBreakBefore w:val="0"/>
        <w:wordWrap/>
        <w:overflowPunct/>
        <w:topLinePunct w:val="0"/>
        <w:bidi w:val="0"/>
        <w:adjustRightInd/>
        <w:spacing w:line="360" w:lineRule="auto"/>
        <w:ind w:firstLine="420"/>
        <w:jc w:val="left"/>
        <w:rPr>
          <w:snapToGrid w:val="0"/>
          <w:color w:val="000000" w:themeColor="text1"/>
          <w:sz w:val="24"/>
          <w:szCs w:val="24"/>
          <w14:textFill>
            <w14:solidFill>
              <w14:schemeClr w14:val="tx1"/>
            </w14:solidFill>
          </w14:textFill>
        </w:rPr>
      </w:pPr>
      <w:r>
        <w:rPr>
          <w:rFonts w:hint="eastAsia"/>
          <w:snapToGrid w:val="0"/>
          <w:color w:val="000000" w:themeColor="text1"/>
          <w:sz w:val="24"/>
          <w:szCs w:val="24"/>
          <w14:textFill>
            <w14:solidFill>
              <w14:schemeClr w14:val="tx1"/>
            </w14:solidFill>
          </w14:textFill>
        </w:rPr>
        <w:t>式中：</w:t>
      </w:r>
    </w:p>
    <w:p w14:paraId="40C043B1">
      <w:pPr>
        <w:pStyle w:val="6"/>
        <w:keepNext w:val="0"/>
        <w:keepLines w:val="0"/>
        <w:pageBreakBefore w:val="0"/>
        <w:wordWrap/>
        <w:overflowPunct/>
        <w:topLinePunct w:val="0"/>
        <w:bidi w:val="0"/>
        <w:adjustRightInd/>
        <w:spacing w:line="360" w:lineRule="auto"/>
        <w:ind w:firstLine="420"/>
        <w:rPr>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t>ρ</w:t>
      </w:r>
      <w:r>
        <w:rPr>
          <w:rFonts w:hint="eastAsia"/>
          <w:snapToGrid w:val="0"/>
          <w:color w:val="000000" w:themeColor="text1"/>
          <w:sz w:val="24"/>
          <w:szCs w:val="24"/>
          <w14:textFill>
            <w14:solidFill>
              <w14:schemeClr w14:val="tx1"/>
            </w14:solidFill>
          </w14:textFill>
        </w:rPr>
        <w:t>——待测液中的亚硝态氮浓度，单位为毫克每升（mg/L）；</w:t>
      </w:r>
    </w:p>
    <w:p w14:paraId="2AF1A276">
      <w:pPr>
        <w:pStyle w:val="6"/>
        <w:keepNext w:val="0"/>
        <w:keepLines w:val="0"/>
        <w:pageBreakBefore w:val="0"/>
        <w:wordWrap/>
        <w:overflowPunct/>
        <w:topLinePunct w:val="0"/>
        <w:bidi w:val="0"/>
        <w:adjustRightInd/>
        <w:spacing w:line="360" w:lineRule="auto"/>
        <w:ind w:firstLine="420"/>
        <w:rPr>
          <w:snapToGrid w:val="0"/>
          <w:color w:val="000000" w:themeColor="text1"/>
          <w:sz w:val="24"/>
          <w:szCs w:val="24"/>
          <w14:textFill>
            <w14:solidFill>
              <w14:schemeClr w14:val="tx1"/>
            </w14:solidFill>
          </w14:textFill>
        </w:rPr>
      </w:pPr>
      <w:r>
        <w:rPr>
          <w:rFonts w:hint="eastAsia"/>
          <w:snapToGrid w:val="0"/>
          <w:color w:val="000000" w:themeColor="text1"/>
          <w:sz w:val="24"/>
          <w:szCs w:val="24"/>
          <w14:textFill>
            <w14:solidFill>
              <w14:schemeClr w14:val="tx1"/>
            </w14:solidFill>
          </w14:textFill>
        </w:rPr>
        <w:t>m——土样质量，单位为克（g）；</w:t>
      </w:r>
    </w:p>
    <w:p w14:paraId="12F25572">
      <w:pPr>
        <w:pStyle w:val="6"/>
        <w:keepNext w:val="0"/>
        <w:keepLines w:val="0"/>
        <w:pageBreakBefore w:val="0"/>
        <w:wordWrap/>
        <w:overflowPunct/>
        <w:topLinePunct w:val="0"/>
        <w:bidi w:val="0"/>
        <w:adjustRightInd/>
        <w:spacing w:line="360" w:lineRule="auto"/>
        <w:ind w:firstLine="420"/>
        <w:rPr>
          <w:snapToGrid w:val="0"/>
          <w:color w:val="000000" w:themeColor="text1"/>
          <w:sz w:val="24"/>
          <w:szCs w:val="24"/>
          <w14:textFill>
            <w14:solidFill>
              <w14:schemeClr w14:val="tx1"/>
            </w14:solidFill>
          </w14:textFill>
        </w:rPr>
      </w:pPr>
      <w:r>
        <w:rPr>
          <w:rFonts w:hint="eastAsia"/>
          <w:snapToGrid w:val="0"/>
          <w:color w:val="000000" w:themeColor="text1"/>
          <w:sz w:val="24"/>
          <w:szCs w:val="24"/>
          <w14:textFill>
            <w14:solidFill>
              <w14:schemeClr w14:val="tx1"/>
            </w14:solidFill>
          </w14:textFill>
        </w:rPr>
        <w:t>V——样品制备溶液的体积（100 mL）；</w:t>
      </w:r>
    </w:p>
    <w:p w14:paraId="75C4C250">
      <w:pPr>
        <w:pStyle w:val="6"/>
        <w:keepNext w:val="0"/>
        <w:keepLines w:val="0"/>
        <w:pageBreakBefore w:val="0"/>
        <w:wordWrap/>
        <w:overflowPunct/>
        <w:topLinePunct w:val="0"/>
        <w:bidi w:val="0"/>
        <w:adjustRightInd/>
        <w:spacing w:line="360" w:lineRule="auto"/>
        <w:ind w:firstLine="420"/>
        <w:rPr>
          <w:snapToGrid w:val="0"/>
          <w:color w:val="000000" w:themeColor="text1"/>
          <w:sz w:val="24"/>
          <w:szCs w:val="24"/>
          <w14:textFill>
            <w14:solidFill>
              <w14:schemeClr w14:val="tx1"/>
            </w14:solidFill>
          </w14:textFill>
        </w:rPr>
      </w:pPr>
      <w:r>
        <w:rPr>
          <w:rFonts w:hint="eastAsia"/>
          <w:snapToGrid w:val="0"/>
          <w:color w:val="000000" w:themeColor="text1"/>
          <w:sz w:val="24"/>
          <w:szCs w:val="24"/>
          <w14:textFill>
            <w14:solidFill>
              <w14:schemeClr w14:val="tx1"/>
            </w14:solidFill>
          </w14:textFill>
        </w:rPr>
        <w:t>V</w:t>
      </w:r>
      <w:r>
        <w:rPr>
          <w:rFonts w:hint="eastAsia"/>
          <w:snapToGrid w:val="0"/>
          <w:color w:val="000000" w:themeColor="text1"/>
          <w:sz w:val="24"/>
          <w:szCs w:val="24"/>
          <w:vertAlign w:val="subscript"/>
          <w14:textFill>
            <w14:solidFill>
              <w14:schemeClr w14:val="tx1"/>
            </w14:solidFill>
          </w14:textFill>
        </w:rPr>
        <w:t>1</w:t>
      </w:r>
      <w:r>
        <w:rPr>
          <w:rFonts w:hint="eastAsia"/>
          <w:snapToGrid w:val="0"/>
          <w:color w:val="000000" w:themeColor="text1"/>
          <w:sz w:val="24"/>
          <w:szCs w:val="24"/>
          <w14:textFill>
            <w14:solidFill>
              <w14:schemeClr w14:val="tx1"/>
            </w14:solidFill>
          </w14:textFill>
        </w:rPr>
        <w:t>——吸取的待测液体积（5 mL）；</w:t>
      </w:r>
    </w:p>
    <w:p w14:paraId="185F7758">
      <w:pPr>
        <w:pStyle w:val="6"/>
        <w:keepNext w:val="0"/>
        <w:keepLines w:val="0"/>
        <w:pageBreakBefore w:val="0"/>
        <w:wordWrap/>
        <w:overflowPunct/>
        <w:topLinePunct w:val="0"/>
        <w:bidi w:val="0"/>
        <w:adjustRightInd/>
        <w:spacing w:line="360" w:lineRule="auto"/>
        <w:ind w:firstLine="420"/>
        <w:rPr>
          <w:snapToGrid w:val="0"/>
          <w:color w:val="000000" w:themeColor="text1"/>
          <w:sz w:val="24"/>
          <w:szCs w:val="24"/>
          <w14:textFill>
            <w14:solidFill>
              <w14:schemeClr w14:val="tx1"/>
            </w14:solidFill>
          </w14:textFill>
        </w:rPr>
      </w:pPr>
      <w:r>
        <w:rPr>
          <w:rFonts w:hint="eastAsia"/>
          <w:snapToGrid w:val="0"/>
          <w:color w:val="000000" w:themeColor="text1"/>
          <w:sz w:val="24"/>
          <w:szCs w:val="24"/>
          <w14:textFill>
            <w14:solidFill>
              <w14:schemeClr w14:val="tx1"/>
            </w14:solidFill>
          </w14:textFill>
        </w:rPr>
        <w:t>V</w:t>
      </w:r>
      <w:r>
        <w:rPr>
          <w:rFonts w:hint="eastAsia"/>
          <w:snapToGrid w:val="0"/>
          <w:color w:val="000000" w:themeColor="text1"/>
          <w:sz w:val="24"/>
          <w:szCs w:val="24"/>
          <w:vertAlign w:val="subscript"/>
          <w14:textFill>
            <w14:solidFill>
              <w14:schemeClr w14:val="tx1"/>
            </w14:solidFill>
          </w14:textFill>
        </w:rPr>
        <w:t>2</w:t>
      </w:r>
      <w:r>
        <w:rPr>
          <w:rFonts w:hint="eastAsia"/>
          <w:snapToGrid w:val="0"/>
          <w:color w:val="000000" w:themeColor="text1"/>
          <w:sz w:val="24"/>
          <w:szCs w:val="24"/>
          <w14:textFill>
            <w14:solidFill>
              <w14:schemeClr w14:val="tx1"/>
            </w14:solidFill>
          </w14:textFill>
        </w:rPr>
        <w:t>——比色溶液的体积（</w:t>
      </w:r>
      <w:r>
        <w:rPr>
          <w:rFonts w:hint="eastAsia"/>
          <w:snapToGrid w:val="0"/>
          <w:color w:val="000000" w:themeColor="text1"/>
          <w:sz w:val="24"/>
          <w:szCs w:val="24"/>
          <w:lang w:val="en-US" w:eastAsia="zh-CN"/>
          <w14:textFill>
            <w14:solidFill>
              <w14:schemeClr w14:val="tx1"/>
            </w14:solidFill>
          </w14:textFill>
        </w:rPr>
        <w:t>5</w:t>
      </w:r>
      <w:r>
        <w:rPr>
          <w:rFonts w:hint="eastAsia"/>
          <w:snapToGrid w:val="0"/>
          <w:color w:val="000000" w:themeColor="text1"/>
          <w:sz w:val="24"/>
          <w:szCs w:val="24"/>
          <w14:textFill>
            <w14:solidFill>
              <w14:schemeClr w14:val="tx1"/>
            </w14:solidFill>
          </w14:textFill>
        </w:rPr>
        <w:t>0 mL）；</w:t>
      </w:r>
    </w:p>
    <w:p w14:paraId="21721D3F">
      <w:pPr>
        <w:pStyle w:val="6"/>
        <w:keepNext w:val="0"/>
        <w:keepLines w:val="0"/>
        <w:pageBreakBefore w:val="0"/>
        <w:wordWrap/>
        <w:overflowPunct/>
        <w:topLinePunct w:val="0"/>
        <w:bidi w:val="0"/>
        <w:adjustRightInd/>
        <w:spacing w:line="360" w:lineRule="auto"/>
        <w:ind w:firstLine="420"/>
        <w:rPr>
          <w:snapToGrid w:val="0"/>
          <w:color w:val="000000" w:themeColor="text1"/>
          <w:sz w:val="24"/>
          <w:szCs w:val="24"/>
          <w14:textFill>
            <w14:solidFill>
              <w14:schemeClr w14:val="tx1"/>
            </w14:solidFill>
          </w14:textFill>
        </w:rPr>
      </w:pPr>
      <w:r>
        <w:rPr>
          <w:rFonts w:hint="eastAsia"/>
          <w:snapToGrid w:val="0"/>
          <w:color w:val="000000" w:themeColor="text1"/>
          <w:sz w:val="24"/>
          <w:szCs w:val="24"/>
          <w14:textFill>
            <w14:solidFill>
              <w14:schemeClr w14:val="tx1"/>
            </w14:solidFill>
          </w14:textFill>
        </w:rPr>
        <w:t>2——由于加入氯化钾溶液后（</w:t>
      </w:r>
      <w:r>
        <w:rPr>
          <w:snapToGrid w:val="0"/>
          <w:color w:val="000000" w:themeColor="text1"/>
          <w:sz w:val="24"/>
          <w:szCs w:val="24"/>
          <w14:textFill>
            <w14:solidFill>
              <w14:schemeClr w14:val="tx1"/>
            </w14:solidFill>
          </w14:textFill>
        </w:rPr>
        <w:t>5</w:t>
      </w:r>
      <w:r>
        <w:rPr>
          <w:rFonts w:hint="eastAsia"/>
          <w:snapToGrid w:val="0"/>
          <w:color w:val="000000" w:themeColor="text1"/>
          <w:sz w:val="24"/>
          <w:szCs w:val="24"/>
          <w14:textFill>
            <w14:solidFill>
              <w14:schemeClr w14:val="tx1"/>
            </w14:solidFill>
          </w14:textFill>
        </w:rPr>
        <w:t>.</w:t>
      </w:r>
      <w:r>
        <w:rPr>
          <w:snapToGrid w:val="0"/>
          <w:color w:val="000000" w:themeColor="text1"/>
          <w:sz w:val="24"/>
          <w:szCs w:val="24"/>
          <w14:textFill>
            <w14:solidFill>
              <w14:schemeClr w14:val="tx1"/>
            </w14:solidFill>
          </w14:textFill>
        </w:rPr>
        <w:t>3</w:t>
      </w:r>
      <w:r>
        <w:rPr>
          <w:rFonts w:hint="eastAsia"/>
          <w:snapToGrid w:val="0"/>
          <w:color w:val="000000" w:themeColor="text1"/>
          <w:sz w:val="24"/>
          <w:szCs w:val="24"/>
          <w14:textFill>
            <w14:solidFill>
              <w14:schemeClr w14:val="tx1"/>
            </w14:solidFill>
          </w14:textFill>
        </w:rPr>
        <w:t>.</w:t>
      </w:r>
      <w:r>
        <w:rPr>
          <w:snapToGrid w:val="0"/>
          <w:color w:val="000000" w:themeColor="text1"/>
          <w:sz w:val="24"/>
          <w:szCs w:val="24"/>
          <w14:textFill>
            <w14:solidFill>
              <w14:schemeClr w14:val="tx1"/>
            </w14:solidFill>
          </w14:textFill>
        </w:rPr>
        <w:t>4</w:t>
      </w:r>
      <w:r>
        <w:rPr>
          <w:rFonts w:hint="eastAsia"/>
          <w:snapToGrid w:val="0"/>
          <w:color w:val="000000" w:themeColor="text1"/>
          <w:sz w:val="24"/>
          <w:szCs w:val="24"/>
          <w14:textFill>
            <w14:solidFill>
              <w14:schemeClr w14:val="tx1"/>
            </w14:solidFill>
          </w14:textFill>
        </w:rPr>
        <w:t>.</w:t>
      </w:r>
      <w:r>
        <w:rPr>
          <w:snapToGrid w:val="0"/>
          <w:color w:val="000000" w:themeColor="text1"/>
          <w:sz w:val="24"/>
          <w:szCs w:val="24"/>
          <w14:textFill>
            <w14:solidFill>
              <w14:schemeClr w14:val="tx1"/>
            </w14:solidFill>
          </w14:textFill>
        </w:rPr>
        <w:t>8</w:t>
      </w:r>
      <w:r>
        <w:rPr>
          <w:rFonts w:hint="eastAsia"/>
          <w:snapToGrid w:val="0"/>
          <w:color w:val="000000" w:themeColor="text1"/>
          <w:sz w:val="24"/>
          <w:szCs w:val="24"/>
          <w14:textFill>
            <w14:solidFill>
              <w14:schemeClr w14:val="tx1"/>
            </w14:solidFill>
          </w14:textFill>
        </w:rPr>
        <w:t>）的稀释倍数；</w:t>
      </w:r>
    </w:p>
    <w:p w14:paraId="5865A966">
      <w:pPr>
        <w:pStyle w:val="6"/>
        <w:keepNext w:val="0"/>
        <w:keepLines w:val="0"/>
        <w:pageBreakBefore w:val="0"/>
        <w:wordWrap/>
        <w:overflowPunct/>
        <w:topLinePunct w:val="0"/>
        <w:bidi w:val="0"/>
        <w:adjustRightInd/>
        <w:spacing w:line="360" w:lineRule="auto"/>
        <w:ind w:firstLine="420"/>
        <w:rPr>
          <w:snapToGrid w:val="0"/>
          <w:color w:val="000000" w:themeColor="text1"/>
          <w:sz w:val="24"/>
          <w:szCs w:val="24"/>
          <w14:textFill>
            <w14:solidFill>
              <w14:schemeClr w14:val="tx1"/>
            </w14:solidFill>
          </w14:textFill>
        </w:rPr>
      </w:pPr>
      <w:r>
        <w:rPr>
          <w:rFonts w:hint="eastAsia"/>
          <w:snapToGrid w:val="0"/>
          <w:color w:val="000000" w:themeColor="text1"/>
          <w:sz w:val="24"/>
          <w:szCs w:val="24"/>
          <w14:textFill>
            <w14:solidFill>
              <w14:schemeClr w14:val="tx1"/>
            </w14:solidFill>
          </w14:textFill>
        </w:rPr>
        <w:t>w —— 土壤的水分（分析基）含量，%，按</w:t>
      </w:r>
      <w:r>
        <w:rPr>
          <w:rFonts w:hint="eastAsia"/>
          <w:color w:val="000000" w:themeColor="text1"/>
          <w:sz w:val="24"/>
          <w:szCs w:val="24"/>
          <w14:textFill>
            <w14:solidFill>
              <w14:schemeClr w14:val="tx1"/>
            </w14:solidFill>
          </w14:textFill>
        </w:rPr>
        <w:t>NY/T 52</w:t>
      </w:r>
      <w:r>
        <w:rPr>
          <w:rFonts w:hint="eastAsia"/>
          <w:color w:val="000000" w:themeColor="text1"/>
          <w:sz w:val="24"/>
          <w:szCs w:val="24"/>
          <w:lang w:val="en-US" w:eastAsia="zh-CN"/>
          <w14:textFill>
            <w14:solidFill>
              <w14:schemeClr w14:val="tx1"/>
            </w14:solidFill>
          </w14:textFill>
        </w:rPr>
        <w:t>中的规定</w:t>
      </w:r>
      <w:r>
        <w:rPr>
          <w:rFonts w:hint="eastAsia"/>
          <w:snapToGrid w:val="0"/>
          <w:color w:val="000000" w:themeColor="text1"/>
          <w:sz w:val="24"/>
          <w:szCs w:val="24"/>
          <w14:textFill>
            <w14:solidFill>
              <w14:schemeClr w14:val="tx1"/>
            </w14:solidFill>
          </w14:textFill>
        </w:rPr>
        <w:t>计算。</w:t>
      </w:r>
    </w:p>
    <w:p w14:paraId="65900021">
      <w:pPr>
        <w:pStyle w:val="6"/>
        <w:keepNext w:val="0"/>
        <w:keepLines w:val="0"/>
        <w:pageBreakBefore w:val="0"/>
        <w:wordWrap/>
        <w:overflowPunct/>
        <w:topLinePunct w:val="0"/>
        <w:bidi w:val="0"/>
        <w:adjustRightInd/>
        <w:spacing w:line="360" w:lineRule="auto"/>
        <w:ind w:firstLine="420"/>
        <w:rPr>
          <w:snapToGrid w:val="0"/>
          <w:color w:val="000000" w:themeColor="text1"/>
          <w:spacing w:val="-4"/>
          <w:sz w:val="24"/>
          <w:szCs w:val="24"/>
          <w14:textFill>
            <w14:solidFill>
              <w14:schemeClr w14:val="tx1"/>
            </w14:solidFill>
          </w14:textFill>
        </w:rPr>
      </w:pPr>
      <w:r>
        <w:rPr>
          <w:rFonts w:hint="eastAsia"/>
          <w:snapToGrid w:val="0"/>
          <w:color w:val="000000" w:themeColor="text1"/>
          <w:sz w:val="24"/>
          <w:szCs w:val="24"/>
          <w14:textFill>
            <w14:solidFill>
              <w14:schemeClr w14:val="tx1"/>
            </w14:solidFill>
          </w14:textFill>
        </w:rPr>
        <w:t>取</w:t>
      </w:r>
      <w:r>
        <w:rPr>
          <w:rFonts w:hint="eastAsia"/>
          <w:snapToGrid w:val="0"/>
          <w:color w:val="000000" w:themeColor="text1"/>
          <w:sz w:val="24"/>
          <w:szCs w:val="24"/>
          <w:lang w:val="en-US" w:eastAsia="zh-CN"/>
          <w14:textFill>
            <w14:solidFill>
              <w14:schemeClr w14:val="tx1"/>
            </w14:solidFill>
          </w14:textFill>
        </w:rPr>
        <w:t>四</w:t>
      </w:r>
      <w:r>
        <w:rPr>
          <w:rFonts w:hint="eastAsia"/>
          <w:snapToGrid w:val="0"/>
          <w:color w:val="000000" w:themeColor="text1"/>
          <w:sz w:val="24"/>
          <w:szCs w:val="24"/>
          <w14:textFill>
            <w14:solidFill>
              <w14:schemeClr w14:val="tx1"/>
            </w14:solidFill>
          </w14:textFill>
        </w:rPr>
        <w:t>次平行测定结果的算术平均值为测定结果。</w:t>
      </w:r>
    </w:p>
    <w:p w14:paraId="6061E095">
      <w:pPr>
        <w:pStyle w:val="21"/>
        <w:keepNext w:val="0"/>
        <w:keepLines w:val="0"/>
        <w:pageBreakBefore w:val="0"/>
        <w:numPr>
          <w:ilvl w:val="4"/>
          <w:numId w:val="0"/>
        </w:numPr>
        <w:wordWrap/>
        <w:overflowPunct/>
        <w:topLinePunct w:val="0"/>
        <w:bidi w:val="0"/>
        <w:adjustRightInd/>
        <w:spacing w:before="156" w:after="156" w:line="360" w:lineRule="auto"/>
        <w:rPr>
          <w:snapToGrid w:val="0"/>
          <w:color w:val="000000" w:themeColor="text1"/>
          <w:spacing w:val="-5"/>
          <w:sz w:val="24"/>
          <w:szCs w:val="24"/>
          <w14:textFill>
            <w14:solidFill>
              <w14:schemeClr w14:val="tx1"/>
            </w14:solidFill>
          </w14:textFill>
        </w:rPr>
      </w:pPr>
      <w:r>
        <w:rPr>
          <w:rFonts w:hint="eastAsia"/>
          <w:color w:val="000000" w:themeColor="text1"/>
          <w:sz w:val="24"/>
          <w:szCs w:val="24"/>
          <w14:textFill>
            <w14:solidFill>
              <w14:schemeClr w14:val="tx1"/>
            </w14:solidFill>
          </w14:textFill>
        </w:rPr>
        <w:t>（2）</w:t>
      </w:r>
      <w:r>
        <w:rPr>
          <w:color w:val="000000" w:themeColor="text1"/>
          <w:sz w:val="24"/>
          <w:szCs w:val="24"/>
          <w14:textFill>
            <w14:solidFill>
              <w14:schemeClr w14:val="tx1"/>
            </w14:solidFill>
          </w14:textFill>
        </w:rPr>
        <w:t>硝化潜势的计算</w:t>
      </w:r>
    </w:p>
    <w:p w14:paraId="25F191DE">
      <w:pPr>
        <w:keepNext w:val="0"/>
        <w:keepLines w:val="0"/>
        <w:pageBreakBefore w:val="0"/>
        <w:widowControl/>
        <w:kinsoku w:val="0"/>
        <w:wordWrap/>
        <w:overflowPunct/>
        <w:topLinePunct w:val="0"/>
        <w:autoSpaceDE w:val="0"/>
        <w:autoSpaceDN w:val="0"/>
        <w:bidi w:val="0"/>
        <w:adjustRightInd/>
        <w:snapToGrid w:val="0"/>
        <w:spacing w:before="120" w:line="360" w:lineRule="auto"/>
        <w:ind w:firstLine="452" w:firstLineChars="200"/>
        <w:jc w:val="left"/>
        <w:textAlignment w:val="baseline"/>
        <w:rPr>
          <w:rFonts w:ascii="Times New Roman" w:hAnsi="Times New Roman"/>
          <w:snapToGrid w:val="0"/>
          <w:color w:val="000000" w:themeColor="text1"/>
          <w:spacing w:val="-7"/>
          <w:kern w:val="0"/>
          <w:sz w:val="24"/>
          <w:szCs w:val="24"/>
          <w14:textFill>
            <w14:solidFill>
              <w14:schemeClr w14:val="tx1"/>
            </w14:solidFill>
          </w14:textFill>
        </w:rPr>
      </w:pPr>
      <w:r>
        <w:rPr>
          <w:rFonts w:hint="eastAsia" w:ascii="Times New Roman" w:hAnsi="Times New Roman"/>
          <w:snapToGrid w:val="0"/>
          <w:color w:val="000000" w:themeColor="text1"/>
          <w:spacing w:val="-7"/>
          <w:kern w:val="0"/>
          <w:sz w:val="24"/>
          <w:szCs w:val="24"/>
          <w14:textFill>
            <w14:solidFill>
              <w14:schemeClr w14:val="tx1"/>
            </w14:solidFill>
          </w14:textFill>
        </w:rPr>
        <w:t>硝化潜势按照单位时间内产生的亚硝态氮量计算，单位为mg/ kg/h。</w:t>
      </w:r>
    </w:p>
    <w:p w14:paraId="3F75AE0A">
      <w:pPr>
        <w:keepNext w:val="0"/>
        <w:keepLines w:val="0"/>
        <w:pageBreakBefore w:val="0"/>
        <w:wordWrap/>
        <w:overflowPunct/>
        <w:topLinePunct w:val="0"/>
        <w:bidi w:val="0"/>
        <w:adjustRightInd/>
        <w:spacing w:before="120" w:line="360" w:lineRule="auto"/>
        <w:jc w:val="both"/>
        <w:rPr>
          <w:rFonts w:ascii="Times New Roman" w:hAnsi="Times New Roman"/>
          <w:snapToGrid w:val="0"/>
          <w:color w:val="000000" w:themeColor="text1"/>
          <w:spacing w:val="-4"/>
          <w:kern w:val="0"/>
          <w:sz w:val="20"/>
          <w:szCs w:val="20"/>
          <w14:textFill>
            <w14:solidFill>
              <w14:schemeClr w14:val="tx1"/>
            </w14:solidFill>
          </w14:textFill>
        </w:rPr>
      </w:pPr>
      <m:oMath>
        <m:r>
          <m:rPr>
            <m:sty m:val="b"/>
          </m:rPr>
          <w:rPr>
            <w:rFonts w:ascii="Cambria Math" w:hAnsi="Cambria Math"/>
            <w:snapToGrid w:val="0"/>
            <w:color w:val="000000" w:themeColor="text1"/>
            <w:spacing w:val="-3"/>
            <w:kern w:val="0"/>
            <w:sz w:val="20"/>
            <w:szCs w:val="20"/>
            <w14:textFill>
              <w14:solidFill>
                <w14:schemeClr w14:val="tx1"/>
              </w14:solidFill>
            </w14:textFill>
          </w:rPr>
          <m:t>△</m:t>
        </m:r>
        <m:r>
          <m:rPr>
            <m:sty m:val="b"/>
          </m:rPr>
          <w:rPr>
            <w:rFonts w:hint="eastAsia" w:ascii="Cambria Math" w:hAnsi="Cambria Math"/>
            <w:snapToGrid w:val="0"/>
            <w:color w:val="000000" w:themeColor="text1"/>
            <w:spacing w:val="-3"/>
            <w:kern w:val="0"/>
            <w:sz w:val="20"/>
            <w:szCs w:val="20"/>
            <w14:textFill>
              <w14:solidFill>
                <w14:schemeClr w14:val="tx1"/>
              </w14:solidFill>
            </w14:textFill>
          </w:rPr>
          <m:t>亚硝态氮含量=添加培养介质的</m:t>
        </m:r>
        <m:r>
          <m:rPr>
            <m:sty m:val="b"/>
          </m:rPr>
          <w:rPr>
            <w:rFonts w:hint="eastAsia" w:ascii="Cambria Math" w:hAnsi="Cambria Math"/>
            <w:snapToGrid w:val="0"/>
            <w:color w:val="000000" w:themeColor="text1"/>
            <w:spacing w:val="-3"/>
            <w:kern w:val="0"/>
            <w:sz w:val="20"/>
            <w:szCs w:val="20"/>
            <w:lang w:val="en-US" w:eastAsia="zh-CN"/>
            <w14:textFill>
              <w14:solidFill>
                <w14:schemeClr w14:val="tx1"/>
              </w14:solidFill>
            </w14:textFill>
          </w:rPr>
          <m:t>土壤</m:t>
        </m:r>
        <m:r>
          <m:rPr>
            <m:sty m:val="b"/>
          </m:rPr>
          <w:rPr>
            <w:rFonts w:hint="eastAsia" w:ascii="Cambria Math" w:hAnsi="Cambria Math"/>
            <w:snapToGrid w:val="0"/>
            <w:color w:val="000000" w:themeColor="text1"/>
            <w:spacing w:val="-3"/>
            <w:kern w:val="0"/>
            <w:sz w:val="20"/>
            <w:szCs w:val="20"/>
            <w14:textFill>
              <w14:solidFill>
                <w14:schemeClr w14:val="tx1"/>
              </w14:solidFill>
            </w14:textFill>
          </w:rPr>
          <m:t>亚硝态氮含量</m:t>
        </m:r>
        <m:r>
          <m:rPr>
            <m:sty m:val="b"/>
          </m:rPr>
          <w:rPr>
            <w:rFonts w:ascii="Cambria Math" w:hAnsi="Cambria Math"/>
            <w:snapToGrid w:val="0"/>
            <w:color w:val="000000" w:themeColor="text1"/>
            <w:spacing w:val="-3"/>
            <w:kern w:val="0"/>
            <w:sz w:val="20"/>
            <w:szCs w:val="20"/>
            <w14:textFill>
              <w14:solidFill>
                <w14:schemeClr w14:val="tx1"/>
              </w14:solidFill>
            </w14:textFill>
          </w:rPr>
          <m:t>−</m:t>
        </m:r>
        <m:r>
          <m:rPr>
            <m:sty m:val="b"/>
          </m:rPr>
          <w:rPr>
            <w:rFonts w:hint="eastAsia" w:ascii="Cambria Math" w:hAnsi="Cambria Math"/>
            <w:snapToGrid w:val="0"/>
            <w:color w:val="000000" w:themeColor="text1"/>
            <w:spacing w:val="-3"/>
            <w:kern w:val="0"/>
            <w:sz w:val="20"/>
            <w:szCs w:val="20"/>
            <w14:textFill>
              <w14:solidFill>
                <w14:schemeClr w14:val="tx1"/>
              </w14:solidFill>
            </w14:textFill>
          </w:rPr>
          <m:t>添加空白介质的</m:t>
        </m:r>
        <m:r>
          <m:rPr>
            <m:sty m:val="b"/>
          </m:rPr>
          <w:rPr>
            <w:rFonts w:hint="eastAsia" w:ascii="Cambria Math" w:hAnsi="Cambria Math"/>
            <w:snapToGrid w:val="0"/>
            <w:color w:val="000000" w:themeColor="text1"/>
            <w:spacing w:val="-3"/>
            <w:kern w:val="0"/>
            <w:sz w:val="20"/>
            <w:szCs w:val="20"/>
            <w:lang w:val="en-US" w:eastAsia="zh-CN"/>
            <w14:textFill>
              <w14:solidFill>
                <w14:schemeClr w14:val="tx1"/>
              </w14:solidFill>
            </w14:textFill>
          </w:rPr>
          <m:t>土壤</m:t>
        </m:r>
        <m:r>
          <m:rPr>
            <m:sty m:val="b"/>
          </m:rPr>
          <w:rPr>
            <w:rFonts w:hint="eastAsia" w:ascii="Cambria Math" w:hAnsi="Cambria Math"/>
            <w:snapToGrid w:val="0"/>
            <w:color w:val="000000" w:themeColor="text1"/>
            <w:spacing w:val="-3"/>
            <w:kern w:val="0"/>
            <w:sz w:val="20"/>
            <w:szCs w:val="20"/>
            <w14:textFill>
              <w14:solidFill>
                <w14:schemeClr w14:val="tx1"/>
              </w14:solidFill>
            </w14:textFill>
          </w:rPr>
          <m:t>亚硝态氮含量</m:t>
        </m:r>
      </m:oMath>
      <w:r>
        <w:rPr>
          <w:rFonts w:hint="eastAsia" w:ascii="Times New Roman"/>
          <w:color w:val="000000" w:themeColor="text1"/>
          <w:sz w:val="20"/>
          <w:szCs w:val="20"/>
          <w:lang w:val="pt-BR"/>
          <w14:textFill>
            <w14:solidFill>
              <w14:schemeClr w14:val="tx1"/>
            </w14:solidFill>
          </w14:textFill>
        </w:rPr>
        <w:t>…</w:t>
      </w:r>
      <w:r>
        <w:rPr>
          <w:rFonts w:ascii="Times New Roman" w:hAnsi="Times New Roman"/>
          <w:snapToGrid w:val="0"/>
          <w:color w:val="000000" w:themeColor="text1"/>
          <w:spacing w:val="-48"/>
          <w:kern w:val="0"/>
          <w:sz w:val="20"/>
          <w:szCs w:val="20"/>
          <w14:textFill>
            <w14:solidFill>
              <w14:schemeClr w14:val="tx1"/>
            </w14:solidFill>
          </w14:textFill>
        </w:rPr>
        <w:t xml:space="preserve"> </w:t>
      </w:r>
      <w:r>
        <w:rPr>
          <w:rFonts w:ascii="Times New Roman" w:hAnsi="Times New Roman"/>
          <w:snapToGrid w:val="0"/>
          <w:color w:val="000000" w:themeColor="text1"/>
          <w:spacing w:val="-4"/>
          <w:kern w:val="0"/>
          <w:sz w:val="20"/>
          <w:szCs w:val="20"/>
          <w14:textFill>
            <w14:solidFill>
              <w14:schemeClr w14:val="tx1"/>
            </w14:solidFill>
          </w14:textFill>
        </w:rPr>
        <w:t>(</w:t>
      </w:r>
      <w:r>
        <w:rPr>
          <w:rFonts w:hint="eastAsia" w:ascii="Times New Roman" w:hAnsi="Times New Roman"/>
          <w:snapToGrid w:val="0"/>
          <w:color w:val="000000" w:themeColor="text1"/>
          <w:spacing w:val="-4"/>
          <w:kern w:val="0"/>
          <w:sz w:val="20"/>
          <w:szCs w:val="20"/>
          <w14:textFill>
            <w14:solidFill>
              <w14:schemeClr w14:val="tx1"/>
            </w14:solidFill>
          </w14:textFill>
        </w:rPr>
        <w:t>4</w:t>
      </w:r>
      <w:r>
        <w:rPr>
          <w:rFonts w:ascii="Times New Roman" w:hAnsi="Times New Roman"/>
          <w:snapToGrid w:val="0"/>
          <w:color w:val="000000" w:themeColor="text1"/>
          <w:spacing w:val="-4"/>
          <w:kern w:val="0"/>
          <w:sz w:val="20"/>
          <w:szCs w:val="20"/>
          <w14:textFill>
            <w14:solidFill>
              <w14:schemeClr w14:val="tx1"/>
            </w14:solidFill>
          </w14:textFill>
        </w:rPr>
        <w:t>)</w:t>
      </w:r>
    </w:p>
    <w:p w14:paraId="20A29EE9">
      <w:pPr>
        <w:keepNext w:val="0"/>
        <w:keepLines w:val="0"/>
        <w:pageBreakBefore w:val="0"/>
        <w:wordWrap/>
        <w:overflowPunct/>
        <w:topLinePunct w:val="0"/>
        <w:bidi w:val="0"/>
        <w:adjustRightInd/>
        <w:spacing w:before="120" w:line="360" w:lineRule="auto"/>
        <w:ind w:firstLine="482" w:firstLineChars="200"/>
        <w:jc w:val="center"/>
        <w:rPr>
          <w:rFonts w:ascii="Times New Roman" w:hAnsi="Times New Roman" w:eastAsia="等线"/>
          <w:color w:val="000000" w:themeColor="text1"/>
          <w:sz w:val="24"/>
          <w:szCs w:val="24"/>
          <w:shd w:val="pct15" w:color="auto" w:fill="FFFFFF"/>
          <w14:textFill>
            <w14:solidFill>
              <w14:schemeClr w14:val="tx1"/>
            </w14:solidFill>
          </w14:textFill>
        </w:rPr>
      </w:pPr>
      <w:r>
        <w:rPr>
          <w:rFonts w:hint="eastAsia" w:hAnsi="Cambria Math"/>
          <w:b/>
          <w:i w:val="0"/>
          <w:color w:val="000000" w:themeColor="text1"/>
          <w:sz w:val="24"/>
          <w:szCs w:val="24"/>
          <w:lang w:val="en-US" w:eastAsia="zh-CN"/>
          <w14:textFill>
            <w14:solidFill>
              <w14:schemeClr w14:val="tx1"/>
            </w14:solidFill>
          </w14:textFill>
        </w:rPr>
        <w:t xml:space="preserve">                  </w:t>
      </w:r>
      <m:oMath>
        <m:r>
          <m:rPr>
            <m:sty m:val="b"/>
          </m:rPr>
          <w:rPr>
            <w:rFonts w:ascii="Cambria Math" w:hAnsi="Cambria Math"/>
            <w:color w:val="000000" w:themeColor="text1"/>
            <w:sz w:val="22"/>
            <w:szCs w:val="22"/>
            <w14:textFill>
              <w14:solidFill>
                <w14:schemeClr w14:val="tx1"/>
              </w14:solidFill>
            </w14:textFill>
          </w:rPr>
          <m:t>硝化潜</m:t>
        </m:r>
        <m:r>
          <m:rPr>
            <m:sty m:val="b"/>
          </m:rPr>
          <w:rPr>
            <w:rFonts w:ascii="Cambria Math" w:hAnsi="Cambria Math"/>
            <w:snapToGrid w:val="0"/>
            <w:color w:val="000000" w:themeColor="text1"/>
            <w:spacing w:val="-4"/>
            <w:kern w:val="0"/>
            <w:sz w:val="22"/>
            <w:szCs w:val="22"/>
            <w14:textFill>
              <w14:solidFill>
                <w14:schemeClr w14:val="tx1"/>
              </w14:solidFill>
            </w14:textFill>
          </w:rPr>
          <m:t>势</m:t>
        </m:r>
        <m:r>
          <m:rPr>
            <m:sty m:val="p"/>
          </m:rPr>
          <w:rPr>
            <w:rFonts w:ascii="Cambria Math" w:hAnsi="Cambria Math"/>
            <w:color w:val="000000" w:themeColor="text1"/>
            <w:sz w:val="22"/>
            <w:szCs w:val="24"/>
            <w14:textFill>
              <w14:solidFill>
                <w14:schemeClr w14:val="tx1"/>
              </w14:solidFill>
            </w14:textFill>
          </w:rPr>
          <m:t>=</m:t>
        </m:r>
        <m:f>
          <m:fPr>
            <m:ctrlPr>
              <w:rPr>
                <w:rFonts w:ascii="Cambria Math" w:hAnsi="Cambria Math"/>
                <w:b/>
                <w:bCs/>
                <w:iCs/>
                <w:color w:val="000000" w:themeColor="text1"/>
                <w:sz w:val="22"/>
                <w:szCs w:val="24"/>
                <w14:textFill>
                  <w14:solidFill>
                    <w14:schemeClr w14:val="tx1"/>
                  </w14:solidFill>
                </w14:textFill>
              </w:rPr>
            </m:ctrlPr>
          </m:fPr>
          <m:num>
            <m:r>
              <m:rPr>
                <m:sty m:val="b"/>
              </m:rPr>
              <w:rPr>
                <w:rFonts w:ascii="Cambria Math" w:hAnsi="Cambria Math"/>
                <w:color w:val="000000" w:themeColor="text1"/>
                <w:sz w:val="22"/>
                <w:szCs w:val="24"/>
                <w14:textFill>
                  <w14:solidFill>
                    <w14:schemeClr w14:val="tx1"/>
                  </w14:solidFill>
                </w14:textFill>
              </w:rPr>
              <m:t>6 h</m:t>
            </m:r>
            <m:r>
              <m:rPr>
                <m:sty m:val="b"/>
              </m:rPr>
              <w:rPr>
                <w:rFonts w:hint="eastAsia" w:ascii="Cambria Math" w:hAnsi="Cambria Math"/>
                <w:color w:val="000000" w:themeColor="text1"/>
                <w:sz w:val="22"/>
                <w:szCs w:val="24"/>
                <w14:textFill>
                  <w14:solidFill>
                    <w14:schemeClr w14:val="tx1"/>
                  </w14:solidFill>
                </w14:textFill>
              </w:rPr>
              <m:t>的</m:t>
            </m:r>
            <m:r>
              <m:rPr>
                <m:sty m:val="b"/>
              </m:rPr>
              <w:rPr>
                <w:rFonts w:ascii="Cambria Math" w:hAnsi="Cambria Math"/>
                <w:snapToGrid w:val="0"/>
                <w:color w:val="000000" w:themeColor="text1"/>
                <w:spacing w:val="-3"/>
                <w:kern w:val="0"/>
                <w:sz w:val="22"/>
                <w:szCs w:val="24"/>
                <w14:textFill>
                  <w14:solidFill>
                    <w14:schemeClr w14:val="tx1"/>
                  </w14:solidFill>
                </w14:textFill>
              </w:rPr>
              <m:t>△</m:t>
            </m:r>
            <m:r>
              <m:rPr>
                <m:sty m:val="b"/>
              </m:rPr>
              <w:rPr>
                <w:rFonts w:hint="eastAsia" w:ascii="Cambria Math" w:hAnsi="Cambria Math"/>
                <w:snapToGrid w:val="0"/>
                <w:color w:val="000000" w:themeColor="text1"/>
                <w:spacing w:val="-3"/>
                <w:kern w:val="0"/>
                <w:sz w:val="22"/>
                <w:szCs w:val="24"/>
                <w14:textFill>
                  <w14:solidFill>
                    <w14:schemeClr w14:val="tx1"/>
                  </w14:solidFill>
                </w14:textFill>
              </w:rPr>
              <m:t>亚硝态氮含量</m:t>
            </m:r>
            <m:r>
              <m:rPr>
                <m:sty m:val="b"/>
              </m:rPr>
              <w:rPr>
                <w:rFonts w:ascii="Cambria Math" w:hAnsi="Cambria Math"/>
                <w:color w:val="000000" w:themeColor="text1"/>
                <w:sz w:val="22"/>
                <w:szCs w:val="24"/>
                <w14:textFill>
                  <w14:solidFill>
                    <w14:schemeClr w14:val="tx1"/>
                  </w14:solidFill>
                </w14:textFill>
              </w:rPr>
              <m:t>−2 h</m:t>
            </m:r>
            <m:r>
              <m:rPr>
                <m:sty m:val="b"/>
              </m:rPr>
              <w:rPr>
                <w:rFonts w:hint="eastAsia" w:ascii="Cambria Math" w:hAnsi="Cambria Math"/>
                <w:color w:val="000000" w:themeColor="text1"/>
                <w:sz w:val="22"/>
                <w:szCs w:val="24"/>
                <w14:textFill>
                  <w14:solidFill>
                    <w14:schemeClr w14:val="tx1"/>
                  </w14:solidFill>
                </w14:textFill>
              </w:rPr>
              <m:t>的</m:t>
            </m:r>
            <m:r>
              <m:rPr>
                <m:sty m:val="b"/>
              </m:rPr>
              <w:rPr>
                <w:rFonts w:ascii="Cambria Math" w:hAnsi="Cambria Math"/>
                <w:snapToGrid w:val="0"/>
                <w:color w:val="000000" w:themeColor="text1"/>
                <w:spacing w:val="-3"/>
                <w:kern w:val="0"/>
                <w:sz w:val="22"/>
                <w:szCs w:val="24"/>
                <w14:textFill>
                  <w14:solidFill>
                    <w14:schemeClr w14:val="tx1"/>
                  </w14:solidFill>
                </w14:textFill>
              </w:rPr>
              <m:t>△</m:t>
            </m:r>
            <m:r>
              <m:rPr>
                <m:sty m:val="b"/>
              </m:rPr>
              <w:rPr>
                <w:rFonts w:hint="eastAsia" w:ascii="Cambria Math" w:hAnsi="Cambria Math"/>
                <w:snapToGrid w:val="0"/>
                <w:color w:val="000000" w:themeColor="text1"/>
                <w:spacing w:val="-3"/>
                <w:kern w:val="0"/>
                <w:sz w:val="22"/>
                <w:szCs w:val="24"/>
                <w14:textFill>
                  <w14:solidFill>
                    <w14:schemeClr w14:val="tx1"/>
                  </w14:solidFill>
                </w14:textFill>
              </w:rPr>
              <m:t>亚硝态氮含量</m:t>
            </m:r>
            <m:ctrlPr>
              <w:rPr>
                <w:rFonts w:ascii="Cambria Math" w:hAnsi="Cambria Math"/>
                <w:b/>
                <w:bCs/>
                <w:iCs/>
                <w:color w:val="000000" w:themeColor="text1"/>
                <w:sz w:val="22"/>
                <w:szCs w:val="24"/>
                <w14:textFill>
                  <w14:solidFill>
                    <w14:schemeClr w14:val="tx1"/>
                  </w14:solidFill>
                </w14:textFill>
              </w:rPr>
            </m:ctrlPr>
          </m:num>
          <m:den>
            <m:r>
              <m:rPr>
                <m:sty m:val="b"/>
              </m:rPr>
              <w:rPr>
                <w:rFonts w:ascii="Cambria Math" w:hAnsi="Cambria Math"/>
                <w:color w:val="000000" w:themeColor="text1"/>
                <w:sz w:val="22"/>
                <w:szCs w:val="24"/>
                <w14:textFill>
                  <w14:solidFill>
                    <w14:schemeClr w14:val="tx1"/>
                  </w14:solidFill>
                </w14:textFill>
              </w:rPr>
              <m:t>4 h</m:t>
            </m:r>
            <m:ctrlPr>
              <w:rPr>
                <w:rFonts w:ascii="Cambria Math" w:hAnsi="Cambria Math"/>
                <w:b/>
                <w:bCs/>
                <w:iCs/>
                <w:color w:val="000000" w:themeColor="text1"/>
                <w:sz w:val="22"/>
                <w:szCs w:val="24"/>
                <w14:textFill>
                  <w14:solidFill>
                    <w14:schemeClr w14:val="tx1"/>
                  </w14:solidFill>
                </w14:textFill>
              </w:rPr>
            </m:ctrlPr>
          </m:den>
        </m:f>
      </m:oMath>
      <w:r>
        <w:rPr>
          <w:rFonts w:hint="eastAsia" w:ascii="Times New Roman"/>
          <w:color w:val="000000" w:themeColor="text1"/>
          <w:sz w:val="24"/>
          <w:szCs w:val="24"/>
          <w:lang w:val="pt-BR"/>
          <w14:textFill>
            <w14:solidFill>
              <w14:schemeClr w14:val="tx1"/>
            </w14:solidFill>
          </w14:textFill>
        </w:rPr>
        <w:t>………</w:t>
      </w:r>
      <w:r>
        <w:rPr>
          <w:rFonts w:hint="eastAsia" w:ascii="Times New Roman"/>
          <w:color w:val="000000" w:themeColor="text1"/>
          <w:sz w:val="24"/>
          <w:szCs w:val="24"/>
          <w:lang w:val="en-US" w:eastAsia="zh-CN"/>
          <w14:textFill>
            <w14:solidFill>
              <w14:schemeClr w14:val="tx1"/>
            </w14:solidFill>
          </w14:textFill>
        </w:rPr>
        <w:t xml:space="preserve"> </w:t>
      </w:r>
      <w:r>
        <w:rPr>
          <w:rFonts w:ascii="Times New Roman" w:hAnsi="Times New Roman"/>
          <w:snapToGrid w:val="0"/>
          <w:color w:val="000000" w:themeColor="text1"/>
          <w:spacing w:val="-4"/>
          <w:kern w:val="0"/>
          <w:sz w:val="24"/>
          <w:szCs w:val="24"/>
          <w14:textFill>
            <w14:solidFill>
              <w14:schemeClr w14:val="tx1"/>
            </w14:solidFill>
          </w14:textFill>
        </w:rPr>
        <w:t>(</w:t>
      </w:r>
      <w:r>
        <w:rPr>
          <w:rFonts w:hint="eastAsia" w:ascii="Times New Roman" w:hAnsi="Times New Roman"/>
          <w:snapToGrid w:val="0"/>
          <w:color w:val="000000" w:themeColor="text1"/>
          <w:spacing w:val="-4"/>
          <w:kern w:val="0"/>
          <w:sz w:val="24"/>
          <w:szCs w:val="24"/>
          <w14:textFill>
            <w14:solidFill>
              <w14:schemeClr w14:val="tx1"/>
            </w14:solidFill>
          </w14:textFill>
        </w:rPr>
        <w:t>5</w:t>
      </w:r>
      <w:r>
        <w:rPr>
          <w:rFonts w:ascii="Times New Roman" w:hAnsi="Times New Roman"/>
          <w:snapToGrid w:val="0"/>
          <w:color w:val="000000" w:themeColor="text1"/>
          <w:spacing w:val="-4"/>
          <w:kern w:val="0"/>
          <w:sz w:val="24"/>
          <w:szCs w:val="24"/>
          <w14:textFill>
            <w14:solidFill>
              <w14:schemeClr w14:val="tx1"/>
            </w14:solidFill>
          </w14:textFill>
        </w:rPr>
        <w:t>)</w:t>
      </w:r>
    </w:p>
    <w:p w14:paraId="1E53BD5B">
      <w:pPr>
        <w:pStyle w:val="21"/>
        <w:keepNext w:val="0"/>
        <w:keepLines w:val="0"/>
        <w:pageBreakBefore w:val="0"/>
        <w:numPr>
          <w:ilvl w:val="4"/>
          <w:numId w:val="0"/>
        </w:numPr>
        <w:wordWrap/>
        <w:overflowPunct/>
        <w:topLinePunct w:val="0"/>
        <w:bidi w:val="0"/>
        <w:adjustRightInd/>
        <w:spacing w:before="156" w:after="156" w:line="360" w:lineRule="auto"/>
        <w:rPr>
          <w:snapToGrid w:val="0"/>
          <w:color w:val="000000" w:themeColor="text1"/>
          <w:spacing w:val="-5"/>
          <w:sz w:val="24"/>
          <w:szCs w:val="24"/>
          <w14:textFill>
            <w14:solidFill>
              <w14:schemeClr w14:val="tx1"/>
            </w14:solidFill>
          </w14:textFill>
        </w:rPr>
      </w:pPr>
      <w:r>
        <w:rPr>
          <w:rFonts w:hint="eastAsia"/>
          <w:color w:val="000000" w:themeColor="text1"/>
          <w:sz w:val="24"/>
          <w:szCs w:val="24"/>
          <w14:textFill>
            <w14:solidFill>
              <w14:schemeClr w14:val="tx1"/>
            </w14:solidFill>
          </w14:textFill>
        </w:rPr>
        <w:t>（3）硝化潜势差异率的计算</w:t>
      </w:r>
    </w:p>
    <w:p w14:paraId="0D941ABD">
      <w:pPr>
        <w:keepNext w:val="0"/>
        <w:keepLines w:val="0"/>
        <w:pageBreakBefore w:val="0"/>
        <w:widowControl/>
        <w:kinsoku w:val="0"/>
        <w:wordWrap/>
        <w:overflowPunct/>
        <w:topLinePunct w:val="0"/>
        <w:autoSpaceDE w:val="0"/>
        <w:autoSpaceDN w:val="0"/>
        <w:bidi w:val="0"/>
        <w:adjustRightInd/>
        <w:snapToGrid w:val="0"/>
        <w:spacing w:before="120" w:line="360" w:lineRule="auto"/>
        <w:ind w:firstLine="472" w:firstLineChars="200"/>
        <w:jc w:val="left"/>
        <w:textAlignment w:val="baseline"/>
        <w:rPr>
          <w:rFonts w:ascii="Times New Roman" w:hAnsi="Times New Roman"/>
          <w:snapToGrid w:val="0"/>
          <w:color w:val="000000" w:themeColor="text1"/>
          <w:kern w:val="0"/>
          <w:sz w:val="24"/>
          <w:szCs w:val="24"/>
          <w14:textFill>
            <w14:solidFill>
              <w14:schemeClr w14:val="tx1"/>
            </w14:solidFill>
          </w14:textFill>
        </w:rPr>
      </w:pPr>
      <w:r>
        <w:rPr>
          <w:rFonts w:ascii="Times New Roman" w:hAnsi="Times New Roman"/>
          <w:snapToGrid w:val="0"/>
          <w:color w:val="000000" w:themeColor="text1"/>
          <w:spacing w:val="-2"/>
          <w:kern w:val="0"/>
          <w:sz w:val="24"/>
          <w:szCs w:val="24"/>
          <w14:textFill>
            <w14:solidFill>
              <w14:schemeClr w14:val="tx1"/>
            </w14:solidFill>
          </w14:textFill>
        </w:rPr>
        <w:t>硝化潜势</w:t>
      </w:r>
      <w:r>
        <w:rPr>
          <w:rFonts w:hint="eastAsia" w:ascii="Times New Roman" w:hAnsi="Times New Roman"/>
          <w:snapToGrid w:val="0"/>
          <w:color w:val="000000" w:themeColor="text1"/>
          <w:spacing w:val="-2"/>
          <w:kern w:val="0"/>
          <w:sz w:val="24"/>
          <w:szCs w:val="24"/>
          <w14:textFill>
            <w14:solidFill>
              <w14:schemeClr w14:val="tx1"/>
            </w14:solidFill>
          </w14:textFill>
        </w:rPr>
        <w:t>差异</w:t>
      </w:r>
      <w:r>
        <w:rPr>
          <w:rFonts w:ascii="Times New Roman" w:hAnsi="Times New Roman"/>
          <w:snapToGrid w:val="0"/>
          <w:color w:val="000000" w:themeColor="text1"/>
          <w:spacing w:val="-2"/>
          <w:kern w:val="0"/>
          <w:sz w:val="24"/>
          <w:szCs w:val="24"/>
          <w14:textFill>
            <w14:solidFill>
              <w14:schemeClr w14:val="tx1"/>
            </w14:solidFill>
          </w14:textFill>
        </w:rPr>
        <w:t>率</w:t>
      </w:r>
      <w:r>
        <w:rPr>
          <w:rFonts w:hint="eastAsia" w:ascii="Times New Roman" w:hAnsi="Times New Roman"/>
          <w:snapToGrid w:val="0"/>
          <w:color w:val="000000" w:themeColor="text1"/>
          <w:spacing w:val="-2"/>
          <w:kern w:val="0"/>
          <w:sz w:val="24"/>
          <w:szCs w:val="24"/>
          <w14:textFill>
            <w14:solidFill>
              <w14:schemeClr w14:val="tx1"/>
            </w14:solidFill>
          </w14:textFill>
        </w:rPr>
        <w:t>按式（6）计算，单位为</w:t>
      </w:r>
      <w:r>
        <w:rPr>
          <w:rFonts w:ascii="Times New Roman" w:hAnsi="Times New Roman"/>
          <w:snapToGrid w:val="0"/>
          <w:color w:val="000000" w:themeColor="text1"/>
          <w:spacing w:val="-2"/>
          <w:kern w:val="0"/>
          <w:sz w:val="24"/>
          <w:szCs w:val="24"/>
          <w14:textFill>
            <w14:solidFill>
              <w14:schemeClr w14:val="tx1"/>
            </w14:solidFill>
          </w14:textFill>
        </w:rPr>
        <w:t>%。</w:t>
      </w:r>
    </w:p>
    <w:p w14:paraId="74BF7AC0">
      <w:pPr>
        <w:keepNext w:val="0"/>
        <w:keepLines w:val="0"/>
        <w:pageBreakBefore w:val="0"/>
        <w:widowControl/>
        <w:kinsoku w:val="0"/>
        <w:wordWrap/>
        <w:overflowPunct/>
        <w:topLinePunct w:val="0"/>
        <w:autoSpaceDE w:val="0"/>
        <w:autoSpaceDN w:val="0"/>
        <w:bidi w:val="0"/>
        <w:adjustRightInd/>
        <w:snapToGrid w:val="0"/>
        <w:spacing w:before="120" w:line="360" w:lineRule="auto"/>
        <w:ind w:right="231" w:firstLine="478" w:firstLineChars="200"/>
        <w:jc w:val="center"/>
        <w:textAlignment w:val="baseline"/>
        <w:rPr>
          <w:rFonts w:hint="eastAsia" w:ascii="Times New Roman" w:hAnsi="Times New Roman"/>
          <w:snapToGrid w:val="0"/>
          <w:color w:val="000000" w:themeColor="text1"/>
          <w:kern w:val="0"/>
          <w:sz w:val="24"/>
          <w:szCs w:val="24"/>
          <w14:textFill>
            <w14:solidFill>
              <w14:schemeClr w14:val="tx1"/>
            </w14:solidFill>
          </w14:textFill>
        </w:rPr>
      </w:pPr>
      <w:r>
        <w:rPr>
          <w:rFonts w:hint="eastAsia" w:hAnsi="Cambria Math"/>
          <w:b/>
          <w:i w:val="0"/>
          <w:snapToGrid w:val="0"/>
          <w:color w:val="000000" w:themeColor="text1"/>
          <w:spacing w:val="-1"/>
          <w:kern w:val="0"/>
          <w:sz w:val="24"/>
          <w:szCs w:val="24"/>
          <w:lang w:val="en-US" w:eastAsia="zh-CN"/>
          <w14:textFill>
            <w14:solidFill>
              <w14:schemeClr w14:val="tx1"/>
            </w14:solidFill>
          </w14:textFill>
        </w:rPr>
        <w:t xml:space="preserve">                   </w:t>
      </w:r>
      <m:oMath>
        <m:r>
          <m:rPr>
            <m:sty m:val="b"/>
          </m:rPr>
          <w:rPr>
            <w:rFonts w:hint="eastAsia" w:ascii="Cambria Math" w:hAnsi="Cambria Math"/>
            <w:snapToGrid w:val="0"/>
            <w:color w:val="000000" w:themeColor="text1"/>
            <w:spacing w:val="-1"/>
            <w:kern w:val="0"/>
            <w:sz w:val="22"/>
            <w:szCs w:val="22"/>
            <w14:textFill>
              <w14:solidFill>
                <w14:schemeClr w14:val="tx1"/>
              </w14:solidFill>
            </w14:textFill>
          </w:rPr>
          <m:t>硝化潜势差异率</m:t>
        </m:r>
        <m:r>
          <m:rPr>
            <m:sty m:val="p"/>
          </m:rPr>
          <w:rPr>
            <w:rFonts w:ascii="Cambria Math" w:hAnsi="Cambria Math"/>
            <w:snapToGrid w:val="0"/>
            <w:color w:val="000000" w:themeColor="text1"/>
            <w:spacing w:val="-1"/>
            <w:kern w:val="0"/>
            <w:sz w:val="22"/>
            <w:szCs w:val="24"/>
            <w14:textFill>
              <w14:solidFill>
                <w14:schemeClr w14:val="tx1"/>
              </w14:solidFill>
            </w14:textFill>
          </w:rPr>
          <m:t>=</m:t>
        </m:r>
        <m:f>
          <m:fPr>
            <m:ctrlPr>
              <w:rPr>
                <w:rFonts w:hint="eastAsia" w:ascii="Cambria Math" w:hAnsi="Cambria Math"/>
                <w:b/>
                <w:bCs/>
                <w:snapToGrid w:val="0"/>
                <w:color w:val="000000" w:themeColor="text1"/>
                <w:spacing w:val="-1"/>
                <w:kern w:val="0"/>
                <w:sz w:val="22"/>
                <w:szCs w:val="24"/>
                <w14:textFill>
                  <w14:solidFill>
                    <w14:schemeClr w14:val="tx1"/>
                  </w14:solidFill>
                </w14:textFill>
              </w:rPr>
            </m:ctrlPr>
          </m:fPr>
          <m:num>
            <m:sSub>
              <m:sSubPr>
                <m:ctrlPr>
                  <w:rPr>
                    <w:rFonts w:hint="eastAsia" w:ascii="Cambria Math" w:hAnsi="Cambria Math"/>
                    <w:b/>
                    <w:bCs/>
                    <w:snapToGrid w:val="0"/>
                    <w:color w:val="000000" w:themeColor="text1"/>
                    <w:spacing w:val="-1"/>
                    <w:kern w:val="0"/>
                    <w:sz w:val="22"/>
                    <w:szCs w:val="24"/>
                    <w14:textFill>
                      <w14:solidFill>
                        <w14:schemeClr w14:val="tx1"/>
                      </w14:solidFill>
                    </w14:textFill>
                  </w:rPr>
                </m:ctrlPr>
              </m:sSubPr>
              <m:e>
                <m:r>
                  <m:rPr>
                    <m:sty m:val="b"/>
                  </m:rPr>
                  <w:rPr>
                    <w:rFonts w:hint="eastAsia" w:ascii="Cambria Math" w:hAnsi="Cambria Math"/>
                    <w:snapToGrid w:val="0"/>
                    <w:color w:val="000000" w:themeColor="text1"/>
                    <w:spacing w:val="-1"/>
                    <w:kern w:val="0"/>
                    <w:sz w:val="22"/>
                    <w:szCs w:val="24"/>
                    <w14:textFill>
                      <w14:solidFill>
                        <w14:schemeClr w14:val="tx1"/>
                      </w14:solidFill>
                    </w14:textFill>
                  </w:rPr>
                  <m:t>硝化潜势</m:t>
                </m:r>
                <m:ctrlPr>
                  <w:rPr>
                    <w:rFonts w:hint="eastAsia" w:ascii="Cambria Math" w:hAnsi="Cambria Math"/>
                    <w:b/>
                    <w:bCs/>
                    <w:snapToGrid w:val="0"/>
                    <w:color w:val="000000" w:themeColor="text1"/>
                    <w:spacing w:val="-1"/>
                    <w:kern w:val="0"/>
                    <w:sz w:val="22"/>
                    <w:szCs w:val="24"/>
                    <w14:textFill>
                      <w14:solidFill>
                        <w14:schemeClr w14:val="tx1"/>
                      </w14:solidFill>
                    </w14:textFill>
                  </w:rPr>
                </m:ctrlPr>
              </m:e>
              <m:sub>
                <m:r>
                  <m:rPr>
                    <m:sty m:val="b"/>
                  </m:rPr>
                  <w:rPr>
                    <w:rFonts w:hint="eastAsia" w:ascii="Cambria Math" w:hAnsi="Cambria Math"/>
                    <w:snapToGrid w:val="0"/>
                    <w:color w:val="000000" w:themeColor="text1"/>
                    <w:spacing w:val="-1"/>
                    <w:kern w:val="0"/>
                    <w:sz w:val="22"/>
                    <w:szCs w:val="24"/>
                    <w14:textFill>
                      <w14:solidFill>
                        <w14:schemeClr w14:val="tx1"/>
                      </w14:solidFill>
                    </w14:textFill>
                  </w:rPr>
                  <m:t>对照</m:t>
                </m:r>
                <m:ctrlPr>
                  <w:rPr>
                    <w:rFonts w:hint="eastAsia" w:ascii="Cambria Math" w:hAnsi="Cambria Math"/>
                    <w:b/>
                    <w:bCs/>
                    <w:snapToGrid w:val="0"/>
                    <w:color w:val="000000" w:themeColor="text1"/>
                    <w:spacing w:val="-1"/>
                    <w:kern w:val="0"/>
                    <w:sz w:val="22"/>
                    <w:szCs w:val="24"/>
                    <w14:textFill>
                      <w14:solidFill>
                        <w14:schemeClr w14:val="tx1"/>
                      </w14:solidFill>
                    </w14:textFill>
                  </w:rPr>
                </m:ctrlPr>
              </m:sub>
            </m:sSub>
            <m:r>
              <m:rPr>
                <m:sty m:val="b"/>
              </m:rPr>
              <w:rPr>
                <w:rFonts w:hint="eastAsia" w:ascii="微软雅黑" w:hAnsi="微软雅黑" w:eastAsia="微软雅黑" w:cs="微软雅黑"/>
                <w:snapToGrid w:val="0"/>
                <w:color w:val="000000" w:themeColor="text1"/>
                <w:spacing w:val="-1"/>
                <w:kern w:val="0"/>
                <w:sz w:val="22"/>
                <w:szCs w:val="24"/>
                <w14:textFill>
                  <w14:solidFill>
                    <w14:schemeClr w14:val="tx1"/>
                  </w14:solidFill>
                </w14:textFill>
              </w:rPr>
              <m:t>−</m:t>
            </m:r>
            <m:sSub>
              <m:sSubPr>
                <m:ctrlPr>
                  <w:rPr>
                    <w:rFonts w:hint="eastAsia" w:ascii="Cambria Math" w:hAnsi="Cambria Math"/>
                    <w:b/>
                    <w:bCs/>
                    <w:snapToGrid w:val="0"/>
                    <w:color w:val="000000" w:themeColor="text1"/>
                    <w:spacing w:val="-1"/>
                    <w:kern w:val="0"/>
                    <w:sz w:val="22"/>
                    <w:szCs w:val="24"/>
                    <w14:textFill>
                      <w14:solidFill>
                        <w14:schemeClr w14:val="tx1"/>
                      </w14:solidFill>
                    </w14:textFill>
                  </w:rPr>
                </m:ctrlPr>
              </m:sSubPr>
              <m:e>
                <m:r>
                  <m:rPr>
                    <m:sty m:val="b"/>
                  </m:rPr>
                  <w:rPr>
                    <w:rFonts w:hint="eastAsia" w:ascii="Cambria Math" w:hAnsi="Cambria Math"/>
                    <w:snapToGrid w:val="0"/>
                    <w:color w:val="000000" w:themeColor="text1"/>
                    <w:spacing w:val="-1"/>
                    <w:kern w:val="0"/>
                    <w:sz w:val="22"/>
                    <w:szCs w:val="24"/>
                    <w14:textFill>
                      <w14:solidFill>
                        <w14:schemeClr w14:val="tx1"/>
                      </w14:solidFill>
                    </w14:textFill>
                  </w:rPr>
                  <m:t>硝化潜势</m:t>
                </m:r>
                <m:ctrlPr>
                  <w:rPr>
                    <w:rFonts w:hint="eastAsia" w:ascii="Cambria Math" w:hAnsi="Cambria Math"/>
                    <w:b/>
                    <w:bCs/>
                    <w:snapToGrid w:val="0"/>
                    <w:color w:val="000000" w:themeColor="text1"/>
                    <w:spacing w:val="-1"/>
                    <w:kern w:val="0"/>
                    <w:sz w:val="22"/>
                    <w:szCs w:val="24"/>
                    <w14:textFill>
                      <w14:solidFill>
                        <w14:schemeClr w14:val="tx1"/>
                      </w14:solidFill>
                    </w14:textFill>
                  </w:rPr>
                </m:ctrlPr>
              </m:e>
              <m:sub>
                <m:r>
                  <m:rPr>
                    <m:sty m:val="b"/>
                  </m:rPr>
                  <w:rPr>
                    <w:rFonts w:hint="eastAsia" w:ascii="Cambria Math" w:hAnsi="Cambria Math"/>
                    <w:snapToGrid w:val="0"/>
                    <w:color w:val="000000" w:themeColor="text1"/>
                    <w:spacing w:val="-1"/>
                    <w:kern w:val="0"/>
                    <w:sz w:val="22"/>
                    <w:szCs w:val="24"/>
                    <w:lang w:val="en-US" w:eastAsia="zh-CN"/>
                    <w14:textFill>
                      <w14:solidFill>
                        <w14:schemeClr w14:val="tx1"/>
                      </w14:solidFill>
                    </w14:textFill>
                  </w:rPr>
                  <m:t>试样</m:t>
                </m:r>
                <m:ctrlPr>
                  <w:rPr>
                    <w:rFonts w:hint="eastAsia" w:ascii="Cambria Math" w:hAnsi="Cambria Math"/>
                    <w:b/>
                    <w:bCs/>
                    <w:snapToGrid w:val="0"/>
                    <w:color w:val="000000" w:themeColor="text1"/>
                    <w:spacing w:val="-1"/>
                    <w:kern w:val="0"/>
                    <w:sz w:val="22"/>
                    <w:szCs w:val="24"/>
                    <w14:textFill>
                      <w14:solidFill>
                        <w14:schemeClr w14:val="tx1"/>
                      </w14:solidFill>
                    </w14:textFill>
                  </w:rPr>
                </m:ctrlPr>
              </m:sub>
            </m:sSub>
            <m:ctrlPr>
              <w:rPr>
                <w:rFonts w:hint="eastAsia" w:ascii="Cambria Math" w:hAnsi="Cambria Math"/>
                <w:b/>
                <w:bCs/>
                <w:snapToGrid w:val="0"/>
                <w:color w:val="000000" w:themeColor="text1"/>
                <w:spacing w:val="-1"/>
                <w:kern w:val="0"/>
                <w:sz w:val="22"/>
                <w:szCs w:val="24"/>
                <w14:textFill>
                  <w14:solidFill>
                    <w14:schemeClr w14:val="tx1"/>
                  </w14:solidFill>
                </w14:textFill>
              </w:rPr>
            </m:ctrlPr>
          </m:num>
          <m:den>
            <m:sSub>
              <m:sSubPr>
                <m:ctrlPr>
                  <w:rPr>
                    <w:rFonts w:hint="eastAsia" w:ascii="Cambria Math" w:hAnsi="Cambria Math"/>
                    <w:b/>
                    <w:bCs/>
                    <w:snapToGrid w:val="0"/>
                    <w:color w:val="000000" w:themeColor="text1"/>
                    <w:spacing w:val="-1"/>
                    <w:kern w:val="0"/>
                    <w:sz w:val="22"/>
                    <w:szCs w:val="24"/>
                    <w14:textFill>
                      <w14:solidFill>
                        <w14:schemeClr w14:val="tx1"/>
                      </w14:solidFill>
                    </w14:textFill>
                  </w:rPr>
                </m:ctrlPr>
              </m:sSubPr>
              <m:e>
                <m:r>
                  <m:rPr>
                    <m:sty m:val="b"/>
                  </m:rPr>
                  <w:rPr>
                    <w:rFonts w:hint="eastAsia" w:ascii="Cambria Math" w:hAnsi="Cambria Math"/>
                    <w:snapToGrid w:val="0"/>
                    <w:color w:val="000000" w:themeColor="text1"/>
                    <w:spacing w:val="-1"/>
                    <w:kern w:val="0"/>
                    <w:sz w:val="22"/>
                    <w:szCs w:val="24"/>
                    <w14:textFill>
                      <w14:solidFill>
                        <w14:schemeClr w14:val="tx1"/>
                      </w14:solidFill>
                    </w14:textFill>
                  </w:rPr>
                  <m:t>硝化潜势</m:t>
                </m:r>
                <m:ctrlPr>
                  <w:rPr>
                    <w:rFonts w:hint="eastAsia" w:ascii="Cambria Math" w:hAnsi="Cambria Math"/>
                    <w:b/>
                    <w:bCs/>
                    <w:snapToGrid w:val="0"/>
                    <w:color w:val="000000" w:themeColor="text1"/>
                    <w:spacing w:val="-1"/>
                    <w:kern w:val="0"/>
                    <w:sz w:val="22"/>
                    <w:szCs w:val="24"/>
                    <w14:textFill>
                      <w14:solidFill>
                        <w14:schemeClr w14:val="tx1"/>
                      </w14:solidFill>
                    </w14:textFill>
                  </w:rPr>
                </m:ctrlPr>
              </m:e>
              <m:sub>
                <m:r>
                  <m:rPr>
                    <m:sty m:val="b"/>
                  </m:rPr>
                  <w:rPr>
                    <w:rFonts w:hint="eastAsia" w:ascii="Cambria Math" w:hAnsi="Cambria Math"/>
                    <w:snapToGrid w:val="0"/>
                    <w:color w:val="000000" w:themeColor="text1"/>
                    <w:spacing w:val="-1"/>
                    <w:kern w:val="0"/>
                    <w:sz w:val="22"/>
                    <w:szCs w:val="24"/>
                    <w:lang w:val="en-US" w:eastAsia="zh-CN"/>
                    <w14:textFill>
                      <w14:solidFill>
                        <w14:schemeClr w14:val="tx1"/>
                      </w14:solidFill>
                    </w14:textFill>
                  </w:rPr>
                  <m:t>试样</m:t>
                </m:r>
                <m:ctrlPr>
                  <w:rPr>
                    <w:rFonts w:hint="eastAsia" w:ascii="Cambria Math" w:hAnsi="Cambria Math"/>
                    <w:b/>
                    <w:bCs/>
                    <w:snapToGrid w:val="0"/>
                    <w:color w:val="000000" w:themeColor="text1"/>
                    <w:spacing w:val="-1"/>
                    <w:kern w:val="0"/>
                    <w:sz w:val="22"/>
                    <w:szCs w:val="24"/>
                    <w14:textFill>
                      <w14:solidFill>
                        <w14:schemeClr w14:val="tx1"/>
                      </w14:solidFill>
                    </w14:textFill>
                  </w:rPr>
                </m:ctrlPr>
              </m:sub>
            </m:sSub>
            <m:ctrlPr>
              <w:rPr>
                <w:rFonts w:hint="eastAsia" w:ascii="Cambria Math" w:hAnsi="Cambria Math"/>
                <w:b/>
                <w:bCs/>
                <w:snapToGrid w:val="0"/>
                <w:color w:val="000000" w:themeColor="text1"/>
                <w:spacing w:val="-1"/>
                <w:kern w:val="0"/>
                <w:sz w:val="22"/>
                <w:szCs w:val="24"/>
                <w14:textFill>
                  <w14:solidFill>
                    <w14:schemeClr w14:val="tx1"/>
                  </w14:solidFill>
                </w14:textFill>
              </w:rPr>
            </m:ctrlPr>
          </m:den>
        </m:f>
        <m:r>
          <m:rPr>
            <m:sty m:val="bi"/>
          </m:rPr>
          <w:rPr>
            <w:rFonts w:ascii="Cambria Math" w:hAnsi="Cambria Math"/>
            <w:snapToGrid w:val="0"/>
            <w:color w:val="000000" w:themeColor="text1"/>
            <w:spacing w:val="-1"/>
            <w:kern w:val="0"/>
            <w:sz w:val="22"/>
            <w:szCs w:val="24"/>
            <w14:textFill>
              <w14:solidFill>
                <w14:schemeClr w14:val="tx1"/>
              </w14:solidFill>
            </w14:textFill>
          </w:rPr>
          <m:t>×10</m:t>
        </m:r>
      </m:oMath>
      <w:r>
        <w:rPr>
          <w:rFonts w:hint="eastAsia" w:ascii="Times New Roman"/>
          <w:color w:val="000000" w:themeColor="text1"/>
          <w:sz w:val="24"/>
          <w:szCs w:val="24"/>
          <w:lang w:val="pt-BR"/>
          <w14:textFill>
            <w14:solidFill>
              <w14:schemeClr w14:val="tx1"/>
            </w14:solidFill>
          </w14:textFill>
        </w:rPr>
        <w:t>……</w:t>
      </w:r>
      <w:r>
        <w:rPr>
          <w:rFonts w:hint="eastAsia" w:ascii="Times New Roman" w:hAnsi="Times New Roman"/>
          <w:snapToGrid w:val="0"/>
          <w:color w:val="000000" w:themeColor="text1"/>
          <w:spacing w:val="-4"/>
          <w:kern w:val="0"/>
          <w:sz w:val="24"/>
          <w:szCs w:val="24"/>
          <w14:textFill>
            <w14:solidFill>
              <w14:schemeClr w14:val="tx1"/>
            </w14:solidFill>
          </w14:textFill>
        </w:rPr>
        <w:t>（6）</w:t>
      </w:r>
    </w:p>
    <w:p w14:paraId="70D4FAE1">
      <w:pPr>
        <w:pStyle w:val="19"/>
        <w:keepNext w:val="0"/>
        <w:keepLines w:val="0"/>
        <w:pageBreakBefore w:val="0"/>
        <w:numPr>
          <w:ilvl w:val="3"/>
          <w:numId w:val="0"/>
        </w:numPr>
        <w:wordWrap/>
        <w:overflowPunct/>
        <w:topLinePunct w:val="0"/>
        <w:bidi w:val="0"/>
        <w:adjustRightInd/>
        <w:spacing w:before="156" w:after="156" w:line="360" w:lineRule="auto"/>
        <w:rPr>
          <w:color w:val="000000" w:themeColor="text1"/>
          <w:sz w:val="24"/>
          <w:szCs w:val="24"/>
          <w14:textFill>
            <w14:solidFill>
              <w14:schemeClr w14:val="tx1"/>
            </w14:solidFill>
          </w14:textFill>
        </w:rPr>
      </w:pPr>
      <w:bookmarkStart w:id="21" w:name="_Toc231994787"/>
      <w:r>
        <w:rPr>
          <w:rFonts w:hint="eastAsia"/>
          <w:color w:val="000000" w:themeColor="text1"/>
          <w:sz w:val="24"/>
          <w:szCs w:val="24"/>
          <w14:textFill>
            <w14:solidFill>
              <w14:schemeClr w14:val="tx1"/>
            </w14:solidFill>
          </w14:textFill>
        </w:rPr>
        <w:t>（4）允许差</w:t>
      </w:r>
      <w:bookmarkEnd w:id="21"/>
    </w:p>
    <w:p w14:paraId="450985D9">
      <w:pPr>
        <w:pStyle w:val="6"/>
        <w:keepNext w:val="0"/>
        <w:keepLines w:val="0"/>
        <w:pageBreakBefore w:val="0"/>
        <w:wordWrap/>
        <w:overflowPunct/>
        <w:topLinePunct w:val="0"/>
        <w:bidi w:val="0"/>
        <w:adjustRightInd/>
        <w:spacing w:line="360" w:lineRule="auto"/>
        <w:ind w:firstLine="420"/>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pPr>
      <w:r>
        <w:rPr>
          <w:snapToGrid w:val="0"/>
          <w:color w:val="000000" w:themeColor="text1"/>
          <w:sz w:val="24"/>
          <w:szCs w:val="24"/>
          <w14:textFill>
            <w14:solidFill>
              <w14:schemeClr w14:val="tx1"/>
            </w14:solidFill>
          </w14:textFill>
        </w:rPr>
        <w:t>平行测定结果之间相对偏差不大于5.0%</w:t>
      </w:r>
      <w:r>
        <w:rPr>
          <w:rFonts w:hint="eastAsia"/>
          <w:snapToGrid w:val="0"/>
          <w:color w:val="000000" w:themeColor="text1"/>
          <w:sz w:val="24"/>
          <w:szCs w:val="24"/>
          <w:lang w:eastAsia="zh-CN"/>
          <w14:textFill>
            <w14:solidFill>
              <w14:schemeClr w14:val="tx1"/>
            </w14:solidFill>
          </w14:textFill>
        </w:rPr>
        <w:t>，</w:t>
      </w:r>
      <w:r>
        <w:rPr>
          <w:snapToGrid w:val="0"/>
          <w:color w:val="000000" w:themeColor="text1"/>
          <w:sz w:val="24"/>
          <w:szCs w:val="24"/>
          <w14:textFill>
            <w14:solidFill>
              <w14:schemeClr w14:val="tx1"/>
            </w14:solidFill>
          </w14:textFill>
        </w:rPr>
        <w:t>不同实验室测定结果的相对偏差不大于10.0%。</w:t>
      </w:r>
    </w:p>
    <w:p w14:paraId="3CADF4C2">
      <w:pPr>
        <w:pStyle w:val="6"/>
        <w:keepNext w:val="0"/>
        <w:keepLines w:val="0"/>
        <w:pageBreakBefore w:val="0"/>
        <w:wordWrap/>
        <w:overflowPunct/>
        <w:topLinePunct w:val="0"/>
        <w:bidi w:val="0"/>
        <w:adjustRightInd/>
        <w:spacing w:line="360" w:lineRule="auto"/>
        <w:ind w:left="0" w:leftChars="0" w:firstLine="0" w:firstLineChars="0"/>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pPr>
      <w:r>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t>5.4 正丁基硫代磷酰三胺（NBPT）含量的测定</w:t>
      </w:r>
    </w:p>
    <w:p w14:paraId="582B9CE3">
      <w:pPr>
        <w:pStyle w:val="6"/>
        <w:keepNext w:val="0"/>
        <w:keepLines w:val="0"/>
        <w:pageBreakBefore w:val="0"/>
        <w:wordWrap/>
        <w:overflowPunct/>
        <w:topLinePunct w:val="0"/>
        <w:bidi w:val="0"/>
        <w:adjustRightInd/>
        <w:spacing w:line="360" w:lineRule="auto"/>
        <w:ind w:firstLine="420"/>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14:textFill>
            <w14:solidFill>
              <w14:schemeClr w14:val="tx1"/>
            </w14:solidFill>
          </w14:textFill>
        </w:rPr>
        <w:t>按照GB/T 46742或者NY/T 30</w:t>
      </w:r>
      <w:r>
        <w:rPr>
          <w:color w:val="000000" w:themeColor="text1"/>
          <w:sz w:val="24"/>
          <w:szCs w:val="24"/>
          <w14:textFill>
            <w14:solidFill>
              <w14:schemeClr w14:val="tx1"/>
            </w14:solidFill>
          </w14:textFill>
        </w:rPr>
        <w:t>3</w:t>
      </w:r>
      <w:r>
        <w:rPr>
          <w:rFonts w:hint="eastAsia"/>
          <w:color w:val="000000" w:themeColor="text1"/>
          <w:sz w:val="24"/>
          <w:szCs w:val="24"/>
          <w14:textFill>
            <w14:solidFill>
              <w14:schemeClr w14:val="tx1"/>
            </w14:solidFill>
          </w14:textFill>
        </w:rPr>
        <w:t>8中的方法测定</w:t>
      </w:r>
      <w:r>
        <w:rPr>
          <w:rFonts w:hint="eastAsia"/>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14:textFill>
            <w14:solidFill>
              <w14:schemeClr w14:val="tx1"/>
            </w14:solidFill>
          </w14:textFill>
        </w:rPr>
        <w:t>以GB/T 46742为仲裁法</w:t>
      </w:r>
      <w:r>
        <w:rPr>
          <w:rFonts w:hint="eastAsia"/>
          <w:color w:val="000000" w:themeColor="text1"/>
          <w:sz w:val="24"/>
          <w:szCs w:val="24"/>
          <w14:textFill>
            <w14:solidFill>
              <w14:schemeClr w14:val="tx1"/>
            </w14:solidFill>
          </w14:textFill>
        </w:rPr>
        <w:t>。</w:t>
      </w:r>
    </w:p>
    <w:p w14:paraId="1AFBA5BC">
      <w:pPr>
        <w:pStyle w:val="6"/>
        <w:keepNext w:val="0"/>
        <w:keepLines w:val="0"/>
        <w:pageBreakBefore w:val="0"/>
        <w:wordWrap/>
        <w:overflowPunct/>
        <w:topLinePunct w:val="0"/>
        <w:bidi w:val="0"/>
        <w:adjustRightInd/>
        <w:spacing w:line="360" w:lineRule="auto"/>
        <w:ind w:left="0" w:leftChars="0" w:firstLine="0" w:firstLineChars="0"/>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pPr>
      <w:r>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t>5.5 双氰胺（DCD）含量的测定</w:t>
      </w:r>
    </w:p>
    <w:p w14:paraId="6ACF5017">
      <w:pPr>
        <w:pStyle w:val="6"/>
        <w:keepNext w:val="0"/>
        <w:keepLines w:val="0"/>
        <w:pageBreakBefore w:val="0"/>
        <w:wordWrap/>
        <w:overflowPunct/>
        <w:topLinePunct w:val="0"/>
        <w:bidi w:val="0"/>
        <w:adjustRightInd/>
        <w:spacing w:line="360" w:lineRule="auto"/>
        <w:ind w:firstLine="420"/>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14:textFill>
            <w14:solidFill>
              <w14:schemeClr w14:val="tx1"/>
            </w14:solidFill>
          </w14:textFill>
        </w:rPr>
        <w:t>按照GB/T 46742或者NY/T 2877中的方法测定</w:t>
      </w:r>
      <w:r>
        <w:rPr>
          <w:rFonts w:hint="eastAsia"/>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14:textFill>
            <w14:solidFill>
              <w14:schemeClr w14:val="tx1"/>
            </w14:solidFill>
          </w14:textFill>
        </w:rPr>
        <w:t>以GB/T 46742为仲裁法</w:t>
      </w:r>
      <w:r>
        <w:rPr>
          <w:rFonts w:hint="eastAsia"/>
          <w:color w:val="000000" w:themeColor="text1"/>
          <w:sz w:val="24"/>
          <w:szCs w:val="24"/>
          <w14:textFill>
            <w14:solidFill>
              <w14:schemeClr w14:val="tx1"/>
            </w14:solidFill>
          </w14:textFill>
        </w:rPr>
        <w:t>。</w:t>
      </w:r>
    </w:p>
    <w:p w14:paraId="1EE93897">
      <w:pPr>
        <w:pStyle w:val="6"/>
        <w:keepNext w:val="0"/>
        <w:keepLines w:val="0"/>
        <w:pageBreakBefore w:val="0"/>
        <w:wordWrap/>
        <w:overflowPunct/>
        <w:topLinePunct w:val="0"/>
        <w:bidi w:val="0"/>
        <w:adjustRightInd/>
        <w:spacing w:line="360" w:lineRule="auto"/>
        <w:ind w:left="0" w:leftChars="0" w:firstLine="0" w:firstLineChars="0"/>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pPr>
      <w:r>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t>5.6 3,4-二甲基吡唑磷酸盐（DMPP）含量的测定</w:t>
      </w:r>
    </w:p>
    <w:p w14:paraId="5567F2CF">
      <w:pPr>
        <w:pStyle w:val="6"/>
        <w:keepNext w:val="0"/>
        <w:keepLines w:val="0"/>
        <w:pageBreakBefore w:val="0"/>
        <w:wordWrap/>
        <w:overflowPunct/>
        <w:topLinePunct w:val="0"/>
        <w:bidi w:val="0"/>
        <w:adjustRightInd/>
        <w:spacing w:line="360" w:lineRule="auto"/>
        <w:ind w:firstLine="420"/>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14:textFill>
            <w14:solidFill>
              <w14:schemeClr w14:val="tx1"/>
            </w14:solidFill>
          </w14:textFill>
        </w:rPr>
        <w:t>按照</w:t>
      </w:r>
      <w:r>
        <w:rPr>
          <w:color w:val="000000" w:themeColor="text1"/>
          <w:sz w:val="24"/>
          <w:szCs w:val="24"/>
          <w14:textFill>
            <w14:solidFill>
              <w14:schemeClr w14:val="tx1"/>
            </w14:solidFill>
          </w14:textFill>
        </w:rPr>
        <w:t>NY/T 3423</w:t>
      </w:r>
      <w:r>
        <w:rPr>
          <w:rFonts w:hint="eastAsia"/>
          <w:color w:val="000000" w:themeColor="text1"/>
          <w:sz w:val="24"/>
          <w:szCs w:val="24"/>
          <w14:textFill>
            <w14:solidFill>
              <w14:schemeClr w14:val="tx1"/>
            </w14:solidFill>
          </w14:textFill>
        </w:rPr>
        <w:t>中的方法测定。</w:t>
      </w:r>
    </w:p>
    <w:p w14:paraId="76E07B52">
      <w:pPr>
        <w:pStyle w:val="6"/>
        <w:keepNext w:val="0"/>
        <w:keepLines w:val="0"/>
        <w:pageBreakBefore w:val="0"/>
        <w:wordWrap/>
        <w:overflowPunct/>
        <w:topLinePunct w:val="0"/>
        <w:bidi w:val="0"/>
        <w:adjustRightInd/>
        <w:spacing w:line="360" w:lineRule="auto"/>
        <w:ind w:left="0" w:leftChars="0" w:firstLine="0" w:firstLineChars="0"/>
        <w:rPr>
          <w:rFonts w:hint="default" w:asciiTheme="minorHAnsi" w:hAnsiTheme="minorHAnsi" w:eastAsiaTheme="minorEastAsia" w:cstheme="minorBidi"/>
          <w:b/>
          <w:bCs/>
          <w:color w:val="000000" w:themeColor="text1"/>
          <w:kern w:val="2"/>
          <w:sz w:val="24"/>
          <w:szCs w:val="24"/>
          <w:lang w:val="en-US" w:eastAsia="zh-CN" w:bidi="ar-SA"/>
          <w14:textFill>
            <w14:solidFill>
              <w14:schemeClr w14:val="tx1"/>
            </w14:solidFill>
          </w14:textFill>
        </w:rPr>
      </w:pPr>
      <w:r>
        <w:rPr>
          <w:rFonts w:hint="eastAsia" w:asciiTheme="minorHAnsi" w:hAnsiTheme="minorHAnsi" w:eastAsiaTheme="minorEastAsia" w:cstheme="minorBidi"/>
          <w:b/>
          <w:bCs/>
          <w:color w:val="000000" w:themeColor="text1"/>
          <w:kern w:val="2"/>
          <w:sz w:val="24"/>
          <w:szCs w:val="24"/>
          <w:lang w:val="en-US" w:eastAsia="zh-CN" w:bidi="ar-SA"/>
          <w14:textFill>
            <w14:solidFill>
              <w14:schemeClr w14:val="tx1"/>
            </w14:solidFill>
          </w14:textFill>
        </w:rPr>
        <w:t>6　检验规则</w:t>
      </w:r>
    </w:p>
    <w:p w14:paraId="3D9C3975">
      <w:pPr>
        <w:pStyle w:val="6"/>
        <w:keepNext w:val="0"/>
        <w:keepLines w:val="0"/>
        <w:pageBreakBefore w:val="0"/>
        <w:wordWrap/>
        <w:overflowPunct/>
        <w:topLinePunct w:val="0"/>
        <w:bidi w:val="0"/>
        <w:adjustRightInd/>
        <w:spacing w:line="360" w:lineRule="auto"/>
        <w:ind w:left="0" w:leftChars="0" w:firstLine="0" w:firstLineChars="0"/>
        <w:rPr>
          <w:color w:val="000000" w:themeColor="text1"/>
          <w:sz w:val="24"/>
          <w:szCs w:val="24"/>
          <w14:textFill>
            <w14:solidFill>
              <w14:schemeClr w14:val="tx1"/>
            </w14:solidFill>
          </w14:textFill>
        </w:rPr>
      </w:pPr>
      <w:r>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t>6.1　检验类别及检验项目</w:t>
      </w:r>
    </w:p>
    <w:p w14:paraId="2D55164C">
      <w:pPr>
        <w:pStyle w:val="6"/>
        <w:keepNext w:val="0"/>
        <w:keepLines w:val="0"/>
        <w:pageBreakBefore w:val="0"/>
        <w:wordWrap/>
        <w:overflowPunct/>
        <w:topLinePunct w:val="0"/>
        <w:bidi w:val="0"/>
        <w:adjustRightInd/>
        <w:spacing w:line="360" w:lineRule="auto"/>
        <w:ind w:firstLine="42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产品</w:t>
      </w:r>
      <w:r>
        <w:rPr>
          <w:rFonts w:hint="eastAsia"/>
          <w:color w:val="000000" w:themeColor="text1"/>
          <w:sz w:val="24"/>
          <w:szCs w:val="24"/>
          <w14:textFill>
            <w14:solidFill>
              <w14:schemeClr w14:val="tx1"/>
            </w14:solidFill>
          </w14:textFill>
        </w:rPr>
        <w:t>检验包括</w:t>
      </w:r>
      <w:r>
        <w:rPr>
          <w:color w:val="000000" w:themeColor="text1"/>
          <w:sz w:val="24"/>
          <w:szCs w:val="24"/>
          <w14:textFill>
            <w14:solidFill>
              <w14:schemeClr w14:val="tx1"/>
            </w14:solidFill>
          </w14:textFill>
        </w:rPr>
        <w:t>出厂检验和型式检验。</w:t>
      </w:r>
      <w:r>
        <w:rPr>
          <w:rFonts w:hint="eastAsia"/>
          <w:color w:val="000000" w:themeColor="text1"/>
          <w:sz w:val="24"/>
          <w:szCs w:val="24"/>
          <w14:textFill>
            <w14:solidFill>
              <w14:schemeClr w14:val="tx1"/>
            </w14:solidFill>
          </w14:textFill>
        </w:rPr>
        <w:t>出厂检验项目为相应的基础肥料标准中规定的出厂检验项目。</w:t>
      </w:r>
      <w:r>
        <w:rPr>
          <w:color w:val="000000" w:themeColor="text1"/>
          <w:sz w:val="24"/>
          <w:szCs w:val="24"/>
          <w14:textFill>
            <w14:solidFill>
              <w14:schemeClr w14:val="tx1"/>
            </w14:solidFill>
          </w14:textFill>
        </w:rPr>
        <w:t>型式检验</w:t>
      </w:r>
      <w:r>
        <w:rPr>
          <w:rFonts w:hint="eastAsia"/>
          <w:color w:val="000000" w:themeColor="text1"/>
          <w:sz w:val="24"/>
          <w:szCs w:val="24"/>
          <w14:textFill>
            <w14:solidFill>
              <w14:schemeClr w14:val="tx1"/>
            </w14:solidFill>
          </w14:textFill>
        </w:rPr>
        <w:t>包括表1中的</w:t>
      </w:r>
      <w:r>
        <w:rPr>
          <w:rFonts w:hint="eastAsia"/>
          <w:color w:val="000000" w:themeColor="text1"/>
          <w:sz w:val="24"/>
          <w:szCs w:val="24"/>
          <w:lang w:val="en-US" w:eastAsia="zh-CN"/>
          <w14:textFill>
            <w14:solidFill>
              <w14:schemeClr w14:val="tx1"/>
            </w14:solidFill>
          </w14:textFill>
        </w:rPr>
        <w:t>尿素残留差异率和硝化潜势差异率</w:t>
      </w:r>
      <w:r>
        <w:rPr>
          <w:rFonts w:hint="eastAsia"/>
          <w:color w:val="000000" w:themeColor="text1"/>
          <w:sz w:val="24"/>
          <w:szCs w:val="24"/>
          <w14:textFill>
            <w14:solidFill>
              <w14:schemeClr w14:val="tx1"/>
            </w14:solidFill>
          </w14:textFill>
        </w:rPr>
        <w:t>项目和相应基础肥料标准中的所有项目，有</w:t>
      </w:r>
      <w:r>
        <w:rPr>
          <w:color w:val="000000" w:themeColor="text1"/>
          <w:sz w:val="24"/>
          <w:szCs w:val="24"/>
          <w14:textFill>
            <w14:solidFill>
              <w14:schemeClr w14:val="tx1"/>
            </w14:solidFill>
          </w14:textFill>
        </w:rPr>
        <w:t>下列情况</w:t>
      </w:r>
      <w:r>
        <w:rPr>
          <w:rFonts w:hint="eastAsia"/>
          <w:color w:val="000000" w:themeColor="text1"/>
          <w:sz w:val="24"/>
          <w:szCs w:val="24"/>
          <w14:textFill>
            <w14:solidFill>
              <w14:schemeClr w14:val="tx1"/>
            </w14:solidFill>
          </w14:textFill>
        </w:rPr>
        <w:t>之一</w:t>
      </w:r>
      <w:r>
        <w:rPr>
          <w:color w:val="000000" w:themeColor="text1"/>
          <w:sz w:val="24"/>
          <w:szCs w:val="24"/>
          <w14:textFill>
            <w14:solidFill>
              <w14:schemeClr w14:val="tx1"/>
            </w14:solidFill>
          </w14:textFill>
        </w:rPr>
        <w:t>时进行：</w:t>
      </w:r>
    </w:p>
    <w:p w14:paraId="34451E74">
      <w:pPr>
        <w:pStyle w:val="23"/>
        <w:keepNext w:val="0"/>
        <w:keepLines w:val="0"/>
        <w:pageBreakBefore w:val="0"/>
        <w:wordWrap/>
        <w:overflowPunct/>
        <w:topLinePunct w:val="0"/>
        <w:bidi w:val="0"/>
        <w:adjustRightInd/>
        <w:spacing w:line="360" w:lineRule="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新产品投产或产品鉴定时；</w:t>
      </w:r>
    </w:p>
    <w:p w14:paraId="5AAE0E7F">
      <w:pPr>
        <w:pStyle w:val="23"/>
        <w:keepNext w:val="0"/>
        <w:keepLines w:val="0"/>
        <w:pageBreakBefore w:val="0"/>
        <w:wordWrap/>
        <w:overflowPunct/>
        <w:topLinePunct w:val="0"/>
        <w:bidi w:val="0"/>
        <w:adjustRightInd/>
        <w:spacing w:line="360" w:lineRule="auto"/>
        <w:rPr>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正式</w:t>
      </w:r>
      <w:r>
        <w:rPr>
          <w:rFonts w:hAnsi="宋体"/>
          <w:color w:val="000000" w:themeColor="text1"/>
          <w:sz w:val="24"/>
          <w:szCs w:val="24"/>
          <w14:textFill>
            <w14:solidFill>
              <w14:schemeClr w14:val="tx1"/>
            </w14:solidFill>
          </w14:textFill>
        </w:rPr>
        <w:t>生产时，原料、工艺发生变化；</w:t>
      </w:r>
    </w:p>
    <w:p w14:paraId="626F0D7A">
      <w:pPr>
        <w:pStyle w:val="23"/>
        <w:keepNext w:val="0"/>
        <w:keepLines w:val="0"/>
        <w:pageBreakBefore w:val="0"/>
        <w:wordWrap/>
        <w:overflowPunct/>
        <w:topLinePunct w:val="0"/>
        <w:bidi w:val="0"/>
        <w:adjustRightInd/>
        <w:spacing w:line="360" w:lineRule="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正式生产时，定期或积累到一定量后，</w:t>
      </w:r>
      <w:r>
        <w:rPr>
          <w:rFonts w:hint="eastAsia"/>
          <w:color w:val="000000" w:themeColor="text1"/>
          <w:sz w:val="24"/>
          <w:szCs w:val="24"/>
          <w14:textFill>
            <w14:solidFill>
              <w14:schemeClr w14:val="tx1"/>
            </w14:solidFill>
          </w14:textFill>
        </w:rPr>
        <w:t>至少每半年</w:t>
      </w:r>
      <w:r>
        <w:rPr>
          <w:color w:val="000000" w:themeColor="text1"/>
          <w:sz w:val="24"/>
          <w:szCs w:val="24"/>
          <w14:textFill>
            <w14:solidFill>
              <w14:schemeClr w14:val="tx1"/>
            </w14:solidFill>
          </w14:textFill>
        </w:rPr>
        <w:t>进行一次；</w:t>
      </w:r>
    </w:p>
    <w:p w14:paraId="5964FE60">
      <w:pPr>
        <w:pStyle w:val="23"/>
        <w:keepNext w:val="0"/>
        <w:keepLines w:val="0"/>
        <w:pageBreakBefore w:val="0"/>
        <w:wordWrap/>
        <w:overflowPunct/>
        <w:topLinePunct w:val="0"/>
        <w:bidi w:val="0"/>
        <w:adjustRightInd/>
        <w:spacing w:line="360" w:lineRule="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出厂检验结果与上次型式检验结果有较大差异时；</w:t>
      </w:r>
    </w:p>
    <w:p w14:paraId="127F88C9">
      <w:pPr>
        <w:pStyle w:val="23"/>
        <w:keepNext w:val="0"/>
        <w:keepLines w:val="0"/>
        <w:pageBreakBefore w:val="0"/>
        <w:wordWrap/>
        <w:overflowPunct/>
        <w:topLinePunct w:val="0"/>
        <w:bidi w:val="0"/>
        <w:adjustRightInd/>
        <w:spacing w:line="360" w:lineRule="auto"/>
        <w:rPr>
          <w:color w:val="000000" w:themeColor="text1"/>
          <w:sz w:val="24"/>
          <w:szCs w:val="24"/>
          <w14:textFill>
            <w14:solidFill>
              <w14:schemeClr w14:val="tx1"/>
            </w14:solidFill>
          </w14:textFill>
        </w:rPr>
      </w:pPr>
      <w:r>
        <w:rPr>
          <w:rFonts w:hAnsi="宋体"/>
          <w:color w:val="000000" w:themeColor="text1"/>
          <w:sz w:val="24"/>
          <w:szCs w:val="24"/>
          <w14:textFill>
            <w14:solidFill>
              <w14:schemeClr w14:val="tx1"/>
            </w14:solidFill>
          </w14:textFill>
        </w:rPr>
        <w:t>停产一个月</w:t>
      </w:r>
      <w:r>
        <w:rPr>
          <w:rFonts w:hint="eastAsia" w:hAnsi="宋体"/>
          <w:color w:val="000000" w:themeColor="text1"/>
          <w:sz w:val="24"/>
          <w:szCs w:val="24"/>
          <w14:textFill>
            <w14:solidFill>
              <w14:schemeClr w14:val="tx1"/>
            </w14:solidFill>
          </w14:textFill>
        </w:rPr>
        <w:t>以上</w:t>
      </w:r>
      <w:r>
        <w:rPr>
          <w:rFonts w:hAnsi="宋体"/>
          <w:color w:val="000000" w:themeColor="text1"/>
          <w:sz w:val="24"/>
          <w:szCs w:val="24"/>
          <w14:textFill>
            <w14:solidFill>
              <w14:schemeClr w14:val="tx1"/>
            </w14:solidFill>
          </w14:textFill>
        </w:rPr>
        <w:t>重新开始生产时</w:t>
      </w:r>
      <w:r>
        <w:rPr>
          <w:rFonts w:hint="eastAsia" w:hAnsi="宋体"/>
          <w:color w:val="000000" w:themeColor="text1"/>
          <w:sz w:val="24"/>
          <w:szCs w:val="24"/>
          <w14:textFill>
            <w14:solidFill>
              <w14:schemeClr w14:val="tx1"/>
            </w14:solidFill>
          </w14:textFill>
        </w:rPr>
        <w:t>；</w:t>
      </w:r>
    </w:p>
    <w:p w14:paraId="7D51C9B5">
      <w:pPr>
        <w:pStyle w:val="23"/>
        <w:keepNext w:val="0"/>
        <w:keepLines w:val="0"/>
        <w:pageBreakBefore w:val="0"/>
        <w:wordWrap/>
        <w:overflowPunct/>
        <w:topLinePunct w:val="0"/>
        <w:bidi w:val="0"/>
        <w:adjustRightInd/>
        <w:spacing w:line="360" w:lineRule="auto"/>
        <w:rPr>
          <w:rFonts w:hint="default"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14:textFill>
            <w14:solidFill>
              <w14:schemeClr w14:val="tx1"/>
            </w14:solidFill>
          </w14:textFill>
        </w:rPr>
        <w:t>政府质量监管部门</w:t>
      </w:r>
      <w:r>
        <w:rPr>
          <w:color w:val="000000" w:themeColor="text1"/>
          <w:sz w:val="24"/>
          <w:szCs w:val="24"/>
          <w14:textFill>
            <w14:solidFill>
              <w14:schemeClr w14:val="tx1"/>
            </w14:solidFill>
          </w14:textFill>
        </w:rPr>
        <w:t>提出型式检验的要求时。</w:t>
      </w:r>
    </w:p>
    <w:p w14:paraId="0A7E548F">
      <w:pPr>
        <w:pStyle w:val="6"/>
        <w:keepNext w:val="0"/>
        <w:keepLines w:val="0"/>
        <w:pageBreakBefore w:val="0"/>
        <w:wordWrap/>
        <w:overflowPunct/>
        <w:topLinePunct w:val="0"/>
        <w:bidi w:val="0"/>
        <w:adjustRightInd/>
        <w:spacing w:line="360" w:lineRule="auto"/>
        <w:ind w:left="0" w:leftChars="0" w:firstLine="0" w:firstLineChars="0"/>
        <w:rPr>
          <w:rFonts w:hint="eastAsia" w:asciiTheme="minorHAnsi" w:hAnsiTheme="minorHAnsi" w:eastAsiaTheme="minorEastAsia" w:cstheme="minorBidi"/>
          <w:b/>
          <w:bCs/>
          <w:color w:val="000000" w:themeColor="text1"/>
          <w:kern w:val="2"/>
          <w:sz w:val="24"/>
          <w:szCs w:val="24"/>
          <w:lang w:val="en-US" w:eastAsia="zh-CN" w:bidi="ar-SA"/>
          <w14:textFill>
            <w14:solidFill>
              <w14:schemeClr w14:val="tx1"/>
            </w14:solidFill>
          </w14:textFill>
        </w:rPr>
      </w:pPr>
      <w:r>
        <w:rPr>
          <w:rFonts w:hint="eastAsia" w:asciiTheme="minorHAnsi" w:hAnsiTheme="minorHAnsi" w:eastAsiaTheme="minorEastAsia" w:cstheme="minorBidi"/>
          <w:b/>
          <w:bCs/>
          <w:color w:val="000000" w:themeColor="text1"/>
          <w:kern w:val="2"/>
          <w:sz w:val="24"/>
          <w:szCs w:val="24"/>
          <w:lang w:val="en-US" w:eastAsia="zh-CN" w:bidi="ar-SA"/>
          <w14:textFill>
            <w14:solidFill>
              <w14:schemeClr w14:val="tx1"/>
            </w14:solidFill>
          </w14:textFill>
        </w:rPr>
        <w:t>6.2　组批</w:t>
      </w:r>
    </w:p>
    <w:p w14:paraId="7DB6FA57">
      <w:pPr>
        <w:pStyle w:val="23"/>
        <w:keepNext w:val="0"/>
        <w:keepLines w:val="0"/>
        <w:pageBreakBefore w:val="0"/>
        <w:numPr>
          <w:ilvl w:val="0"/>
          <w:numId w:val="0"/>
        </w:numPr>
        <w:wordWrap/>
        <w:overflowPunct/>
        <w:topLinePunct w:val="0"/>
        <w:bidi w:val="0"/>
        <w:adjustRightInd/>
        <w:spacing w:line="360" w:lineRule="auto"/>
        <w:ind w:left="425" w:leftChars="0"/>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14:textFill>
            <w14:solidFill>
              <w14:schemeClr w14:val="tx1"/>
            </w14:solidFill>
          </w14:textFill>
        </w:rPr>
        <w:t>组批按相应基础肥料</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尿素、复合肥、掺混肥等</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标准的规定执行</w:t>
      </w:r>
      <w:r>
        <w:rPr>
          <w:rFonts w:hint="eastAsia"/>
          <w:color w:val="000000" w:themeColor="text1"/>
          <w:sz w:val="24"/>
          <w:szCs w:val="24"/>
          <w:lang w:val="en-US" w:eastAsia="zh-CN"/>
          <w14:textFill>
            <w14:solidFill>
              <w14:schemeClr w14:val="tx1"/>
            </w14:solidFill>
          </w14:textFill>
        </w:rPr>
        <w:t>。</w:t>
      </w:r>
    </w:p>
    <w:p w14:paraId="7B49CC0F">
      <w:pPr>
        <w:pStyle w:val="8"/>
        <w:keepNext w:val="0"/>
        <w:keepLines w:val="0"/>
        <w:pageBreakBefore w:val="0"/>
        <w:numPr>
          <w:ilvl w:val="2"/>
          <w:numId w:val="0"/>
        </w:numPr>
        <w:wordWrap/>
        <w:overflowPunct/>
        <w:topLinePunct w:val="0"/>
        <w:bidi w:val="0"/>
        <w:adjustRightInd/>
        <w:spacing w:before="156" w:after="156" w:line="360" w:lineRule="auto"/>
        <w:ind w:leftChars="0"/>
        <w:rPr>
          <w:rFonts w:hint="eastAsia"/>
          <w:b/>
          <w:bCs/>
          <w:color w:val="000000" w:themeColor="text1"/>
          <w:sz w:val="24"/>
          <w:szCs w:val="24"/>
          <w:lang w:val="en-US" w:eastAsia="zh-CN"/>
          <w14:textFill>
            <w14:solidFill>
              <w14:schemeClr w14:val="tx1"/>
            </w14:solidFill>
          </w14:textFill>
        </w:rPr>
      </w:pPr>
      <w:r>
        <w:rPr>
          <w:rFonts w:hint="eastAsia" w:asciiTheme="minorHAnsi" w:hAnsiTheme="minorHAnsi" w:eastAsiaTheme="minorEastAsia" w:cstheme="minorBidi"/>
          <w:b/>
          <w:bCs/>
          <w:color w:val="000000" w:themeColor="text1"/>
          <w:kern w:val="2"/>
          <w:sz w:val="24"/>
          <w:szCs w:val="24"/>
          <w:lang w:val="en-US" w:eastAsia="zh-CN" w:bidi="ar-SA"/>
          <w14:textFill>
            <w14:solidFill>
              <w14:schemeClr w14:val="tx1"/>
            </w14:solidFill>
          </w14:textFill>
        </w:rPr>
        <w:t>6.3　</w:t>
      </w:r>
      <w:r>
        <w:rPr>
          <w:rFonts w:hint="eastAsia"/>
          <w:b/>
          <w:bCs/>
          <w:color w:val="000000" w:themeColor="text1"/>
          <w:sz w:val="24"/>
          <w:szCs w:val="24"/>
          <w:lang w:val="en-US" w:eastAsia="zh-CN"/>
          <w14:textFill>
            <w14:solidFill>
              <w14:schemeClr w14:val="tx1"/>
            </w14:solidFill>
          </w14:textFill>
        </w:rPr>
        <w:t>合并样品的采取</w:t>
      </w:r>
    </w:p>
    <w:p w14:paraId="4014BE75">
      <w:pPr>
        <w:pStyle w:val="6"/>
        <w:keepNext w:val="0"/>
        <w:keepLines w:val="0"/>
        <w:pageBreakBefore w:val="0"/>
        <w:wordWrap/>
        <w:overflowPunct/>
        <w:topLinePunct w:val="0"/>
        <w:bidi w:val="0"/>
        <w:adjustRightInd/>
        <w:spacing w:line="360" w:lineRule="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不超过512袋时，按</w:t>
      </w:r>
      <w:r>
        <w:rPr>
          <w:rFonts w:hint="eastAsia"/>
          <w:color w:val="000000" w:themeColor="text1"/>
          <w:sz w:val="24"/>
          <w:szCs w:val="24"/>
          <w14:textFill>
            <w14:solidFill>
              <w14:schemeClr w14:val="tx1"/>
            </w14:solidFill>
          </w14:textFill>
        </w:rPr>
        <w:t>表2确定的最少采样袋数</w:t>
      </w:r>
      <w:r>
        <w:rPr>
          <w:color w:val="000000" w:themeColor="text1"/>
          <w:sz w:val="24"/>
          <w:szCs w:val="24"/>
          <w14:textFill>
            <w14:solidFill>
              <w14:schemeClr w14:val="tx1"/>
            </w14:solidFill>
          </w14:textFill>
        </w:rPr>
        <w:t>采样</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超过512袋时，按式</w:t>
      </w:r>
      <w:r>
        <w:rPr>
          <w:rFonts w:hint="eastAsia"/>
          <w:color w:val="000000" w:themeColor="text1"/>
          <w:sz w:val="24"/>
          <w:szCs w:val="24"/>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7</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计算结果</w:t>
      </w:r>
      <w:r>
        <w:rPr>
          <w:rFonts w:hint="eastAsia"/>
          <w:color w:val="000000" w:themeColor="text1"/>
          <w:sz w:val="24"/>
          <w:szCs w:val="24"/>
          <w14:textFill>
            <w14:solidFill>
              <w14:schemeClr w14:val="tx1"/>
            </w14:solidFill>
          </w14:textFill>
        </w:rPr>
        <w:t>确定的采样袋数</w:t>
      </w:r>
      <w:r>
        <w:rPr>
          <w:color w:val="000000" w:themeColor="text1"/>
          <w:sz w:val="24"/>
          <w:szCs w:val="24"/>
          <w14:textFill>
            <w14:solidFill>
              <w14:schemeClr w14:val="tx1"/>
            </w14:solidFill>
          </w14:textFill>
        </w:rPr>
        <w:t>采样，计算结果如果遇到小数，则进为整数。</w:t>
      </w:r>
    </w:p>
    <w:p w14:paraId="257E6665">
      <w:pPr>
        <w:pStyle w:val="12"/>
        <w:keepNext w:val="0"/>
        <w:keepLines w:val="0"/>
        <w:pageBreakBefore w:val="0"/>
        <w:wordWrap/>
        <w:overflowPunct/>
        <w:topLinePunct w:val="0"/>
        <w:bidi w:val="0"/>
        <w:adjustRightInd/>
        <w:spacing w:before="156" w:after="156"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最少</w:t>
      </w:r>
      <w:r>
        <w:rPr>
          <w:color w:val="000000" w:themeColor="text1"/>
          <w14:textFill>
            <w14:solidFill>
              <w14:schemeClr w14:val="tx1"/>
            </w14:solidFill>
          </w14:textFill>
        </w:rPr>
        <w:t>采样袋数的确定</w:t>
      </w:r>
    </w:p>
    <w:tbl>
      <w:tblPr>
        <w:tblStyle w:val="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310"/>
        <w:gridCol w:w="2310"/>
        <w:gridCol w:w="2310"/>
        <w:gridCol w:w="2310"/>
      </w:tblGrid>
      <w:tr w14:paraId="47BCDB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10" w:type="dxa"/>
            <w:tcBorders>
              <w:top w:val="single" w:color="auto" w:sz="8" w:space="0"/>
              <w:bottom w:val="single" w:color="auto" w:sz="8" w:space="0"/>
            </w:tcBorders>
            <w:vAlign w:val="center"/>
          </w:tcPr>
          <w:p w14:paraId="7D2AEE81">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总袋数</w:t>
            </w:r>
          </w:p>
        </w:tc>
        <w:tc>
          <w:tcPr>
            <w:tcW w:w="2310" w:type="dxa"/>
            <w:tcBorders>
              <w:top w:val="single" w:color="auto" w:sz="8" w:space="0"/>
              <w:bottom w:val="single" w:color="auto" w:sz="8" w:space="0"/>
            </w:tcBorders>
            <w:vAlign w:val="center"/>
          </w:tcPr>
          <w:p w14:paraId="730CC571">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最少采样袋数</w:t>
            </w:r>
          </w:p>
        </w:tc>
        <w:tc>
          <w:tcPr>
            <w:tcW w:w="2310" w:type="dxa"/>
            <w:tcBorders>
              <w:top w:val="single" w:color="auto" w:sz="8" w:space="0"/>
              <w:bottom w:val="single" w:color="auto" w:sz="8" w:space="0"/>
            </w:tcBorders>
            <w:vAlign w:val="center"/>
          </w:tcPr>
          <w:p w14:paraId="4BFF868C">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总袋数</w:t>
            </w:r>
          </w:p>
        </w:tc>
        <w:tc>
          <w:tcPr>
            <w:tcW w:w="2310" w:type="dxa"/>
            <w:tcBorders>
              <w:top w:val="single" w:color="auto" w:sz="8" w:space="0"/>
              <w:bottom w:val="single" w:color="auto" w:sz="8" w:space="0"/>
            </w:tcBorders>
            <w:vAlign w:val="center"/>
          </w:tcPr>
          <w:p w14:paraId="24D98480">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最少采样袋数</w:t>
            </w:r>
          </w:p>
        </w:tc>
      </w:tr>
      <w:tr w14:paraId="14333F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10" w:type="dxa"/>
            <w:tcBorders>
              <w:top w:val="single" w:color="auto" w:sz="8" w:space="0"/>
            </w:tcBorders>
            <w:vAlign w:val="center"/>
          </w:tcPr>
          <w:p w14:paraId="33413FCB">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1</w:t>
            </w:r>
            <w:r>
              <w:rPr>
                <w:rFonts w:hint="eastAsia" w:hAnsi="宋体"/>
                <w:color w:val="000000" w:themeColor="text1"/>
                <w:sz w:val="18"/>
                <w:szCs w:val="21"/>
                <w14:textFill>
                  <w14:solidFill>
                    <w14:schemeClr w14:val="tx1"/>
                  </w14:solidFill>
                </w14:textFill>
              </w:rPr>
              <w:t>～</w:t>
            </w:r>
            <w:r>
              <w:rPr>
                <w:rFonts w:ascii="Times New Roman"/>
                <w:color w:val="000000" w:themeColor="text1"/>
                <w:sz w:val="18"/>
                <w:szCs w:val="21"/>
                <w14:textFill>
                  <w14:solidFill>
                    <w14:schemeClr w14:val="tx1"/>
                  </w14:solidFill>
                </w14:textFill>
              </w:rPr>
              <w:t>10</w:t>
            </w:r>
          </w:p>
        </w:tc>
        <w:tc>
          <w:tcPr>
            <w:tcW w:w="2310" w:type="dxa"/>
            <w:tcBorders>
              <w:top w:val="single" w:color="auto" w:sz="8" w:space="0"/>
            </w:tcBorders>
            <w:vAlign w:val="center"/>
          </w:tcPr>
          <w:p w14:paraId="693925F6">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全部袋数</w:t>
            </w:r>
          </w:p>
        </w:tc>
        <w:tc>
          <w:tcPr>
            <w:tcW w:w="2310" w:type="dxa"/>
            <w:tcBorders>
              <w:top w:val="single" w:color="auto" w:sz="8" w:space="0"/>
            </w:tcBorders>
            <w:vAlign w:val="center"/>
          </w:tcPr>
          <w:p w14:paraId="507238B1">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182</w:t>
            </w:r>
            <w:r>
              <w:rPr>
                <w:rFonts w:hint="eastAsia" w:hAnsi="宋体"/>
                <w:color w:val="000000" w:themeColor="text1"/>
                <w:sz w:val="18"/>
                <w:szCs w:val="21"/>
                <w14:textFill>
                  <w14:solidFill>
                    <w14:schemeClr w14:val="tx1"/>
                  </w14:solidFill>
                </w14:textFill>
              </w:rPr>
              <w:t>～</w:t>
            </w:r>
            <w:r>
              <w:rPr>
                <w:rFonts w:ascii="Times New Roman"/>
                <w:color w:val="000000" w:themeColor="text1"/>
                <w:sz w:val="18"/>
                <w:szCs w:val="21"/>
                <w14:textFill>
                  <w14:solidFill>
                    <w14:schemeClr w14:val="tx1"/>
                  </w14:solidFill>
                </w14:textFill>
              </w:rPr>
              <w:t>216</w:t>
            </w:r>
          </w:p>
        </w:tc>
        <w:tc>
          <w:tcPr>
            <w:tcW w:w="2310" w:type="dxa"/>
            <w:tcBorders>
              <w:top w:val="single" w:color="auto" w:sz="8" w:space="0"/>
            </w:tcBorders>
            <w:vAlign w:val="center"/>
          </w:tcPr>
          <w:p w14:paraId="48F5AE79">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18</w:t>
            </w:r>
          </w:p>
        </w:tc>
      </w:tr>
      <w:tr w14:paraId="46AE6F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10" w:type="dxa"/>
            <w:vAlign w:val="center"/>
          </w:tcPr>
          <w:p w14:paraId="0D15593F">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11</w:t>
            </w:r>
            <w:r>
              <w:rPr>
                <w:rFonts w:hint="eastAsia" w:hAnsi="宋体"/>
                <w:color w:val="000000" w:themeColor="text1"/>
                <w:sz w:val="18"/>
                <w:szCs w:val="21"/>
                <w14:textFill>
                  <w14:solidFill>
                    <w14:schemeClr w14:val="tx1"/>
                  </w14:solidFill>
                </w14:textFill>
              </w:rPr>
              <w:t>～</w:t>
            </w:r>
            <w:r>
              <w:rPr>
                <w:rFonts w:ascii="Times New Roman"/>
                <w:color w:val="000000" w:themeColor="text1"/>
                <w:sz w:val="18"/>
                <w:szCs w:val="21"/>
                <w14:textFill>
                  <w14:solidFill>
                    <w14:schemeClr w14:val="tx1"/>
                  </w14:solidFill>
                </w14:textFill>
              </w:rPr>
              <w:t>49</w:t>
            </w:r>
          </w:p>
        </w:tc>
        <w:tc>
          <w:tcPr>
            <w:tcW w:w="2310" w:type="dxa"/>
            <w:vAlign w:val="center"/>
          </w:tcPr>
          <w:p w14:paraId="070D8A26">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11</w:t>
            </w:r>
          </w:p>
        </w:tc>
        <w:tc>
          <w:tcPr>
            <w:tcW w:w="2310" w:type="dxa"/>
            <w:vAlign w:val="center"/>
          </w:tcPr>
          <w:p w14:paraId="2D79997D">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217</w:t>
            </w:r>
            <w:r>
              <w:rPr>
                <w:rFonts w:hint="eastAsia" w:hAnsi="宋体"/>
                <w:color w:val="000000" w:themeColor="text1"/>
                <w:sz w:val="18"/>
                <w:szCs w:val="21"/>
                <w14:textFill>
                  <w14:solidFill>
                    <w14:schemeClr w14:val="tx1"/>
                  </w14:solidFill>
                </w14:textFill>
              </w:rPr>
              <w:t>～</w:t>
            </w:r>
            <w:r>
              <w:rPr>
                <w:rFonts w:ascii="Times New Roman"/>
                <w:color w:val="000000" w:themeColor="text1"/>
                <w:sz w:val="18"/>
                <w:szCs w:val="21"/>
                <w14:textFill>
                  <w14:solidFill>
                    <w14:schemeClr w14:val="tx1"/>
                  </w14:solidFill>
                </w14:textFill>
              </w:rPr>
              <w:t>254</w:t>
            </w:r>
          </w:p>
        </w:tc>
        <w:tc>
          <w:tcPr>
            <w:tcW w:w="2310" w:type="dxa"/>
            <w:vAlign w:val="center"/>
          </w:tcPr>
          <w:p w14:paraId="2D022767">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19</w:t>
            </w:r>
          </w:p>
        </w:tc>
      </w:tr>
      <w:tr w14:paraId="0188A2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10" w:type="dxa"/>
            <w:vAlign w:val="center"/>
          </w:tcPr>
          <w:p w14:paraId="2D054148">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50</w:t>
            </w:r>
            <w:r>
              <w:rPr>
                <w:rFonts w:hint="eastAsia" w:hAnsi="宋体"/>
                <w:color w:val="000000" w:themeColor="text1"/>
                <w:sz w:val="18"/>
                <w:szCs w:val="21"/>
                <w14:textFill>
                  <w14:solidFill>
                    <w14:schemeClr w14:val="tx1"/>
                  </w14:solidFill>
                </w14:textFill>
              </w:rPr>
              <w:t>～</w:t>
            </w:r>
            <w:r>
              <w:rPr>
                <w:rFonts w:ascii="Times New Roman"/>
                <w:color w:val="000000" w:themeColor="text1"/>
                <w:sz w:val="18"/>
                <w:szCs w:val="21"/>
                <w14:textFill>
                  <w14:solidFill>
                    <w14:schemeClr w14:val="tx1"/>
                  </w14:solidFill>
                </w14:textFill>
              </w:rPr>
              <w:t>64</w:t>
            </w:r>
          </w:p>
        </w:tc>
        <w:tc>
          <w:tcPr>
            <w:tcW w:w="2310" w:type="dxa"/>
            <w:vAlign w:val="center"/>
          </w:tcPr>
          <w:p w14:paraId="3DA62725">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12</w:t>
            </w:r>
          </w:p>
        </w:tc>
        <w:tc>
          <w:tcPr>
            <w:tcW w:w="2310" w:type="dxa"/>
            <w:vAlign w:val="center"/>
          </w:tcPr>
          <w:p w14:paraId="2A3894ED">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255</w:t>
            </w:r>
            <w:r>
              <w:rPr>
                <w:rFonts w:hint="eastAsia" w:hAnsi="宋体"/>
                <w:color w:val="000000" w:themeColor="text1"/>
                <w:sz w:val="18"/>
                <w:szCs w:val="21"/>
                <w14:textFill>
                  <w14:solidFill>
                    <w14:schemeClr w14:val="tx1"/>
                  </w14:solidFill>
                </w14:textFill>
              </w:rPr>
              <w:t>～</w:t>
            </w:r>
            <w:r>
              <w:rPr>
                <w:rFonts w:ascii="Times New Roman"/>
                <w:color w:val="000000" w:themeColor="text1"/>
                <w:sz w:val="18"/>
                <w:szCs w:val="21"/>
                <w14:textFill>
                  <w14:solidFill>
                    <w14:schemeClr w14:val="tx1"/>
                  </w14:solidFill>
                </w14:textFill>
              </w:rPr>
              <w:t>296</w:t>
            </w:r>
          </w:p>
        </w:tc>
        <w:tc>
          <w:tcPr>
            <w:tcW w:w="2310" w:type="dxa"/>
            <w:vAlign w:val="center"/>
          </w:tcPr>
          <w:p w14:paraId="57B623CF">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20</w:t>
            </w:r>
          </w:p>
        </w:tc>
      </w:tr>
      <w:tr w14:paraId="638839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10" w:type="dxa"/>
            <w:vAlign w:val="center"/>
          </w:tcPr>
          <w:p w14:paraId="71D3B993">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65</w:t>
            </w:r>
            <w:r>
              <w:rPr>
                <w:rFonts w:hint="eastAsia" w:hAnsi="宋体"/>
                <w:color w:val="000000" w:themeColor="text1"/>
                <w:sz w:val="18"/>
                <w:szCs w:val="21"/>
                <w14:textFill>
                  <w14:solidFill>
                    <w14:schemeClr w14:val="tx1"/>
                  </w14:solidFill>
                </w14:textFill>
              </w:rPr>
              <w:t>～</w:t>
            </w:r>
            <w:r>
              <w:rPr>
                <w:rFonts w:ascii="Times New Roman"/>
                <w:color w:val="000000" w:themeColor="text1"/>
                <w:sz w:val="18"/>
                <w:szCs w:val="21"/>
                <w14:textFill>
                  <w14:solidFill>
                    <w14:schemeClr w14:val="tx1"/>
                  </w14:solidFill>
                </w14:textFill>
              </w:rPr>
              <w:t>81</w:t>
            </w:r>
          </w:p>
        </w:tc>
        <w:tc>
          <w:tcPr>
            <w:tcW w:w="2310" w:type="dxa"/>
            <w:vAlign w:val="center"/>
          </w:tcPr>
          <w:p w14:paraId="62833A5B">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13</w:t>
            </w:r>
          </w:p>
        </w:tc>
        <w:tc>
          <w:tcPr>
            <w:tcW w:w="2310" w:type="dxa"/>
            <w:vAlign w:val="center"/>
          </w:tcPr>
          <w:p w14:paraId="5F62A779">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297</w:t>
            </w:r>
            <w:r>
              <w:rPr>
                <w:rFonts w:hint="eastAsia" w:hAnsi="宋体"/>
                <w:color w:val="000000" w:themeColor="text1"/>
                <w:sz w:val="18"/>
                <w:szCs w:val="21"/>
                <w14:textFill>
                  <w14:solidFill>
                    <w14:schemeClr w14:val="tx1"/>
                  </w14:solidFill>
                </w14:textFill>
              </w:rPr>
              <w:t>～</w:t>
            </w:r>
            <w:r>
              <w:rPr>
                <w:rFonts w:ascii="Times New Roman"/>
                <w:color w:val="000000" w:themeColor="text1"/>
                <w:sz w:val="18"/>
                <w:szCs w:val="21"/>
                <w14:textFill>
                  <w14:solidFill>
                    <w14:schemeClr w14:val="tx1"/>
                  </w14:solidFill>
                </w14:textFill>
              </w:rPr>
              <w:t>343</w:t>
            </w:r>
          </w:p>
        </w:tc>
        <w:tc>
          <w:tcPr>
            <w:tcW w:w="2310" w:type="dxa"/>
            <w:vAlign w:val="center"/>
          </w:tcPr>
          <w:p w14:paraId="66BFB4CE">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21</w:t>
            </w:r>
          </w:p>
        </w:tc>
      </w:tr>
      <w:tr w14:paraId="7A7AD8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10" w:type="dxa"/>
            <w:vAlign w:val="center"/>
          </w:tcPr>
          <w:p w14:paraId="7C167899">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82</w:t>
            </w:r>
            <w:r>
              <w:rPr>
                <w:rFonts w:hint="eastAsia" w:hAnsi="宋体"/>
                <w:color w:val="000000" w:themeColor="text1"/>
                <w:sz w:val="18"/>
                <w:szCs w:val="21"/>
                <w14:textFill>
                  <w14:solidFill>
                    <w14:schemeClr w14:val="tx1"/>
                  </w14:solidFill>
                </w14:textFill>
              </w:rPr>
              <w:t>～</w:t>
            </w:r>
            <w:r>
              <w:rPr>
                <w:rFonts w:ascii="Times New Roman"/>
                <w:color w:val="000000" w:themeColor="text1"/>
                <w:sz w:val="18"/>
                <w:szCs w:val="21"/>
                <w14:textFill>
                  <w14:solidFill>
                    <w14:schemeClr w14:val="tx1"/>
                  </w14:solidFill>
                </w14:textFill>
              </w:rPr>
              <w:t>101</w:t>
            </w:r>
          </w:p>
        </w:tc>
        <w:tc>
          <w:tcPr>
            <w:tcW w:w="2310" w:type="dxa"/>
            <w:vAlign w:val="center"/>
          </w:tcPr>
          <w:p w14:paraId="051D7381">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14</w:t>
            </w:r>
          </w:p>
        </w:tc>
        <w:tc>
          <w:tcPr>
            <w:tcW w:w="2310" w:type="dxa"/>
            <w:vAlign w:val="center"/>
          </w:tcPr>
          <w:p w14:paraId="55E4E152">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344</w:t>
            </w:r>
            <w:r>
              <w:rPr>
                <w:rFonts w:hint="eastAsia" w:hAnsi="宋体"/>
                <w:color w:val="000000" w:themeColor="text1"/>
                <w:sz w:val="18"/>
                <w:szCs w:val="21"/>
                <w14:textFill>
                  <w14:solidFill>
                    <w14:schemeClr w14:val="tx1"/>
                  </w14:solidFill>
                </w14:textFill>
              </w:rPr>
              <w:t>～</w:t>
            </w:r>
            <w:r>
              <w:rPr>
                <w:rFonts w:ascii="Times New Roman"/>
                <w:color w:val="000000" w:themeColor="text1"/>
                <w:sz w:val="18"/>
                <w:szCs w:val="21"/>
                <w14:textFill>
                  <w14:solidFill>
                    <w14:schemeClr w14:val="tx1"/>
                  </w14:solidFill>
                </w14:textFill>
              </w:rPr>
              <w:t>394</w:t>
            </w:r>
          </w:p>
        </w:tc>
        <w:tc>
          <w:tcPr>
            <w:tcW w:w="2310" w:type="dxa"/>
            <w:vAlign w:val="center"/>
          </w:tcPr>
          <w:p w14:paraId="48A4EF3D">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22</w:t>
            </w:r>
          </w:p>
        </w:tc>
      </w:tr>
      <w:tr w14:paraId="7AE326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10" w:type="dxa"/>
            <w:vAlign w:val="center"/>
          </w:tcPr>
          <w:p w14:paraId="55E170F6">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102</w:t>
            </w:r>
            <w:r>
              <w:rPr>
                <w:rFonts w:hint="eastAsia" w:hAnsi="宋体"/>
                <w:color w:val="000000" w:themeColor="text1"/>
                <w:sz w:val="18"/>
                <w:szCs w:val="21"/>
                <w14:textFill>
                  <w14:solidFill>
                    <w14:schemeClr w14:val="tx1"/>
                  </w14:solidFill>
                </w14:textFill>
              </w:rPr>
              <w:t>～</w:t>
            </w:r>
            <w:r>
              <w:rPr>
                <w:rFonts w:ascii="Times New Roman"/>
                <w:color w:val="000000" w:themeColor="text1"/>
                <w:sz w:val="18"/>
                <w:szCs w:val="21"/>
                <w14:textFill>
                  <w14:solidFill>
                    <w14:schemeClr w14:val="tx1"/>
                  </w14:solidFill>
                </w14:textFill>
              </w:rPr>
              <w:t>125</w:t>
            </w:r>
          </w:p>
        </w:tc>
        <w:tc>
          <w:tcPr>
            <w:tcW w:w="2310" w:type="dxa"/>
            <w:vAlign w:val="center"/>
          </w:tcPr>
          <w:p w14:paraId="44B77E49">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15</w:t>
            </w:r>
          </w:p>
        </w:tc>
        <w:tc>
          <w:tcPr>
            <w:tcW w:w="2310" w:type="dxa"/>
            <w:vAlign w:val="center"/>
          </w:tcPr>
          <w:p w14:paraId="4E748618">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395</w:t>
            </w:r>
            <w:r>
              <w:rPr>
                <w:rFonts w:hint="eastAsia" w:hAnsi="宋体"/>
                <w:color w:val="000000" w:themeColor="text1"/>
                <w:sz w:val="18"/>
                <w:szCs w:val="21"/>
                <w14:textFill>
                  <w14:solidFill>
                    <w14:schemeClr w14:val="tx1"/>
                  </w14:solidFill>
                </w14:textFill>
              </w:rPr>
              <w:t>～</w:t>
            </w:r>
            <w:r>
              <w:rPr>
                <w:rFonts w:ascii="Times New Roman"/>
                <w:color w:val="000000" w:themeColor="text1"/>
                <w:sz w:val="18"/>
                <w:szCs w:val="21"/>
                <w14:textFill>
                  <w14:solidFill>
                    <w14:schemeClr w14:val="tx1"/>
                  </w14:solidFill>
                </w14:textFill>
              </w:rPr>
              <w:t>450</w:t>
            </w:r>
          </w:p>
        </w:tc>
        <w:tc>
          <w:tcPr>
            <w:tcW w:w="2310" w:type="dxa"/>
            <w:vAlign w:val="center"/>
          </w:tcPr>
          <w:p w14:paraId="67491CCF">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23</w:t>
            </w:r>
          </w:p>
        </w:tc>
      </w:tr>
      <w:tr w14:paraId="723B98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10" w:type="dxa"/>
            <w:vAlign w:val="center"/>
          </w:tcPr>
          <w:p w14:paraId="7739019D">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126</w:t>
            </w:r>
            <w:r>
              <w:rPr>
                <w:rFonts w:hint="eastAsia" w:hAnsi="宋体"/>
                <w:color w:val="000000" w:themeColor="text1"/>
                <w:sz w:val="18"/>
                <w:szCs w:val="21"/>
                <w14:textFill>
                  <w14:solidFill>
                    <w14:schemeClr w14:val="tx1"/>
                  </w14:solidFill>
                </w14:textFill>
              </w:rPr>
              <w:t>～</w:t>
            </w:r>
            <w:r>
              <w:rPr>
                <w:rFonts w:ascii="Times New Roman"/>
                <w:color w:val="000000" w:themeColor="text1"/>
                <w:sz w:val="18"/>
                <w:szCs w:val="21"/>
                <w14:textFill>
                  <w14:solidFill>
                    <w14:schemeClr w14:val="tx1"/>
                  </w14:solidFill>
                </w14:textFill>
              </w:rPr>
              <w:t>151</w:t>
            </w:r>
          </w:p>
        </w:tc>
        <w:tc>
          <w:tcPr>
            <w:tcW w:w="2310" w:type="dxa"/>
            <w:vAlign w:val="center"/>
          </w:tcPr>
          <w:p w14:paraId="60FFEC54">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16</w:t>
            </w:r>
          </w:p>
        </w:tc>
        <w:tc>
          <w:tcPr>
            <w:tcW w:w="2310" w:type="dxa"/>
            <w:vAlign w:val="center"/>
          </w:tcPr>
          <w:p w14:paraId="551A3BF0">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451</w:t>
            </w:r>
            <w:r>
              <w:rPr>
                <w:rFonts w:hint="eastAsia" w:hAnsi="宋体"/>
                <w:color w:val="000000" w:themeColor="text1"/>
                <w:sz w:val="18"/>
                <w:szCs w:val="21"/>
                <w14:textFill>
                  <w14:solidFill>
                    <w14:schemeClr w14:val="tx1"/>
                  </w14:solidFill>
                </w14:textFill>
              </w:rPr>
              <w:t>～</w:t>
            </w:r>
            <w:r>
              <w:rPr>
                <w:rFonts w:ascii="Times New Roman"/>
                <w:color w:val="000000" w:themeColor="text1"/>
                <w:sz w:val="18"/>
                <w:szCs w:val="21"/>
                <w14:textFill>
                  <w14:solidFill>
                    <w14:schemeClr w14:val="tx1"/>
                  </w14:solidFill>
                </w14:textFill>
              </w:rPr>
              <w:t>512</w:t>
            </w:r>
          </w:p>
        </w:tc>
        <w:tc>
          <w:tcPr>
            <w:tcW w:w="2310" w:type="dxa"/>
            <w:vAlign w:val="center"/>
          </w:tcPr>
          <w:p w14:paraId="6A7A55D4">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24</w:t>
            </w:r>
          </w:p>
        </w:tc>
      </w:tr>
      <w:tr w14:paraId="1448CF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10" w:type="dxa"/>
            <w:vAlign w:val="center"/>
          </w:tcPr>
          <w:p w14:paraId="73595B8D">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152</w:t>
            </w:r>
            <w:r>
              <w:rPr>
                <w:rFonts w:hint="eastAsia" w:hAnsi="宋体"/>
                <w:color w:val="000000" w:themeColor="text1"/>
                <w:sz w:val="18"/>
                <w:szCs w:val="21"/>
                <w14:textFill>
                  <w14:solidFill>
                    <w14:schemeClr w14:val="tx1"/>
                  </w14:solidFill>
                </w14:textFill>
              </w:rPr>
              <w:t>～</w:t>
            </w:r>
            <w:r>
              <w:rPr>
                <w:rFonts w:ascii="Times New Roman"/>
                <w:color w:val="000000" w:themeColor="text1"/>
                <w:sz w:val="18"/>
                <w:szCs w:val="21"/>
                <w14:textFill>
                  <w14:solidFill>
                    <w14:schemeClr w14:val="tx1"/>
                  </w14:solidFill>
                </w14:textFill>
              </w:rPr>
              <w:t>181</w:t>
            </w:r>
          </w:p>
        </w:tc>
        <w:tc>
          <w:tcPr>
            <w:tcW w:w="2310" w:type="dxa"/>
            <w:vAlign w:val="center"/>
          </w:tcPr>
          <w:p w14:paraId="461A1EBE">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r>
              <w:rPr>
                <w:rFonts w:ascii="Times New Roman"/>
                <w:color w:val="000000" w:themeColor="text1"/>
                <w:sz w:val="18"/>
                <w:szCs w:val="21"/>
                <w14:textFill>
                  <w14:solidFill>
                    <w14:schemeClr w14:val="tx1"/>
                  </w14:solidFill>
                </w14:textFill>
              </w:rPr>
              <w:t>17</w:t>
            </w:r>
          </w:p>
        </w:tc>
        <w:tc>
          <w:tcPr>
            <w:tcW w:w="2310" w:type="dxa"/>
            <w:vAlign w:val="center"/>
          </w:tcPr>
          <w:p w14:paraId="731A35DD">
            <w:pPr>
              <w:pStyle w:val="11"/>
              <w:keepNext w:val="0"/>
              <w:keepLines w:val="0"/>
              <w:pageBreakBefore w:val="0"/>
              <w:widowControl w:val="0"/>
              <w:wordWrap/>
              <w:overflowPunct/>
              <w:topLinePunct w:val="0"/>
              <w:bidi w:val="0"/>
              <w:adjustRightInd/>
              <w:spacing w:line="360" w:lineRule="auto"/>
              <w:ind w:firstLine="0" w:firstLineChars="0"/>
              <w:rPr>
                <w:rFonts w:ascii="Times New Roman"/>
                <w:color w:val="000000" w:themeColor="text1"/>
                <w:sz w:val="18"/>
                <w:szCs w:val="21"/>
                <w14:textFill>
                  <w14:solidFill>
                    <w14:schemeClr w14:val="tx1"/>
                  </w14:solidFill>
                </w14:textFill>
              </w:rPr>
            </w:pPr>
          </w:p>
        </w:tc>
        <w:tc>
          <w:tcPr>
            <w:tcW w:w="2310" w:type="dxa"/>
            <w:vAlign w:val="center"/>
          </w:tcPr>
          <w:p w14:paraId="4F914D21">
            <w:pPr>
              <w:pStyle w:val="11"/>
              <w:keepNext w:val="0"/>
              <w:keepLines w:val="0"/>
              <w:pageBreakBefore w:val="0"/>
              <w:widowControl w:val="0"/>
              <w:wordWrap/>
              <w:overflowPunct/>
              <w:topLinePunct w:val="0"/>
              <w:bidi w:val="0"/>
              <w:adjustRightInd/>
              <w:spacing w:line="360" w:lineRule="auto"/>
              <w:ind w:firstLine="0" w:firstLineChars="0"/>
              <w:jc w:val="center"/>
              <w:rPr>
                <w:rFonts w:ascii="Times New Roman"/>
                <w:color w:val="000000" w:themeColor="text1"/>
                <w:sz w:val="18"/>
                <w:szCs w:val="21"/>
                <w14:textFill>
                  <w14:solidFill>
                    <w14:schemeClr w14:val="tx1"/>
                  </w14:solidFill>
                </w14:textFill>
              </w:rPr>
            </w:pPr>
          </w:p>
        </w:tc>
      </w:tr>
    </w:tbl>
    <w:p w14:paraId="485D378C">
      <w:pPr>
        <w:pStyle w:val="11"/>
        <w:keepNext w:val="0"/>
        <w:keepLines w:val="0"/>
        <w:pageBreakBefore w:val="0"/>
        <w:wordWrap/>
        <w:overflowPunct/>
        <w:topLinePunct w:val="0"/>
        <w:bidi w:val="0"/>
        <w:adjustRightInd/>
        <w:spacing w:line="360" w:lineRule="auto"/>
        <w:jc w:val="right"/>
        <w:rPr>
          <w:rFonts w:ascii="Times New Roman"/>
          <w:i/>
          <w:color w:val="000000" w:themeColor="text1"/>
          <w:szCs w:val="21"/>
          <w:lang w:val="pt-BR"/>
          <w14:textFill>
            <w14:solidFill>
              <w14:schemeClr w14:val="tx1"/>
            </w14:solidFill>
          </w14:textFill>
        </w:rPr>
      </w:pPr>
    </w:p>
    <w:p w14:paraId="3B28D325">
      <w:pPr>
        <w:pStyle w:val="11"/>
        <w:keepNext w:val="0"/>
        <w:keepLines w:val="0"/>
        <w:pageBreakBefore w:val="0"/>
        <w:wordWrap/>
        <w:overflowPunct/>
        <w:topLinePunct w:val="0"/>
        <w:bidi w:val="0"/>
        <w:adjustRightInd/>
        <w:spacing w:line="360" w:lineRule="auto"/>
        <w:jc w:val="right"/>
        <w:rPr>
          <w:rFonts w:ascii="Times New Roman"/>
          <w:color w:val="000000" w:themeColor="text1"/>
          <w:sz w:val="24"/>
          <w:szCs w:val="24"/>
          <w:lang w:val="pt-BR"/>
          <w14:textFill>
            <w14:solidFill>
              <w14:schemeClr w14:val="tx1"/>
            </w14:solidFill>
          </w14:textFill>
        </w:rPr>
      </w:pPr>
      <w:r>
        <w:rPr>
          <w:rFonts w:hint="eastAsia" w:ascii="Times New Roman"/>
          <w:i/>
          <w:color w:val="000000" w:themeColor="text1"/>
          <w:sz w:val="24"/>
          <w:szCs w:val="24"/>
          <w:lang w:val="pt-BR"/>
          <w14:textFill>
            <w14:solidFill>
              <w14:schemeClr w14:val="tx1"/>
            </w14:solidFill>
          </w14:textFill>
        </w:rPr>
        <w:t>n</w:t>
      </w:r>
      <w:r>
        <w:rPr>
          <w:rFonts w:ascii="Times New Roman"/>
          <w:color w:val="000000" w:themeColor="text1"/>
          <w:sz w:val="24"/>
          <w:szCs w:val="24"/>
          <w:lang w:val="pt-BR"/>
          <w14:textFill>
            <w14:solidFill>
              <w14:schemeClr w14:val="tx1"/>
            </w14:solidFill>
          </w14:textFill>
        </w:rPr>
        <w:t>=3×</w:t>
      </w:r>
      <w:r>
        <w:rPr>
          <w:rFonts w:ascii="Times New Roman"/>
          <w:color w:val="000000" w:themeColor="text1"/>
          <w:position w:val="-8"/>
          <w:sz w:val="24"/>
          <w:szCs w:val="24"/>
          <w14:textFill>
            <w14:solidFill>
              <w14:schemeClr w14:val="tx1"/>
            </w14:solidFill>
          </w14:textFill>
        </w:rPr>
        <w:object>
          <v:shape id="_x0000_i1029" o:spt="75" type="#_x0000_t75" style="height:18pt;width:23pt;" o:ole="t" filled="f" o:preferrelative="t" stroked="f" coordsize="21600,21600">
            <v:path/>
            <v:fill on="f" focussize="0,0"/>
            <v:stroke on="f" joinstyle="miter"/>
            <v:imagedata r:id="rId13" o:title=""/>
            <o:lock v:ext="edit" aspectratio="t"/>
            <w10:wrap type="none"/>
            <w10:anchorlock/>
          </v:shape>
          <o:OLEObject Type="Embed" ProgID="Equation.DSMT4" ShapeID="_x0000_i1029" DrawAspect="Content" ObjectID="_1468075729" r:id="rId12">
            <o:LockedField>false</o:LockedField>
          </o:OLEObject>
        </w:object>
      </w:r>
      <w:r>
        <w:rPr>
          <w:rFonts w:hint="eastAsia" w:ascii="Times New Roman"/>
          <w:color w:val="000000" w:themeColor="text1"/>
          <w:sz w:val="24"/>
          <w:szCs w:val="24"/>
          <w:lang w:val="pt-BR"/>
          <w14:textFill>
            <w14:solidFill>
              <w14:schemeClr w14:val="tx1"/>
            </w14:solidFill>
          </w14:textFill>
        </w:rPr>
        <w:t>………………………………………………………</w:t>
      </w:r>
      <w:r>
        <w:rPr>
          <w:rFonts w:ascii="Times New Roman"/>
          <w:color w:val="000000" w:themeColor="text1"/>
          <w:sz w:val="24"/>
          <w:szCs w:val="24"/>
          <w:lang w:val="pt-BR"/>
          <w14:textFill>
            <w14:solidFill>
              <w14:schemeClr w14:val="tx1"/>
            </w14:solidFill>
          </w14:textFill>
        </w:rPr>
        <w:t>（</w:t>
      </w:r>
      <w:r>
        <w:rPr>
          <w:rFonts w:hint="eastAsia" w:ascii="Times New Roman"/>
          <w:color w:val="000000" w:themeColor="text1"/>
          <w:sz w:val="24"/>
          <w:szCs w:val="24"/>
          <w:lang w:val="en-US" w:eastAsia="zh-CN"/>
          <w14:textFill>
            <w14:solidFill>
              <w14:schemeClr w14:val="tx1"/>
            </w14:solidFill>
          </w14:textFill>
        </w:rPr>
        <w:t>7</w:t>
      </w:r>
      <w:r>
        <w:rPr>
          <w:rFonts w:ascii="Times New Roman"/>
          <w:color w:val="000000" w:themeColor="text1"/>
          <w:sz w:val="24"/>
          <w:szCs w:val="24"/>
          <w:lang w:val="pt-BR"/>
          <w14:textFill>
            <w14:solidFill>
              <w14:schemeClr w14:val="tx1"/>
            </w14:solidFill>
          </w14:textFill>
        </w:rPr>
        <w:t>）</w:t>
      </w:r>
    </w:p>
    <w:p w14:paraId="283911C1">
      <w:pPr>
        <w:pStyle w:val="6"/>
        <w:keepNext w:val="0"/>
        <w:keepLines w:val="0"/>
        <w:pageBreakBefore w:val="0"/>
        <w:wordWrap/>
        <w:overflowPunct/>
        <w:topLinePunct w:val="0"/>
        <w:bidi w:val="0"/>
        <w:adjustRightInd/>
        <w:spacing w:line="360" w:lineRule="auto"/>
        <w:ind w:firstLine="420"/>
        <w:rPr>
          <w:color w:val="000000" w:themeColor="text1"/>
          <w:sz w:val="24"/>
          <w:szCs w:val="24"/>
          <w:lang w:val="pt-BR"/>
          <w14:textFill>
            <w14:solidFill>
              <w14:schemeClr w14:val="tx1"/>
            </w14:solidFill>
          </w14:textFill>
        </w:rPr>
      </w:pPr>
      <w:r>
        <w:rPr>
          <w:color w:val="000000" w:themeColor="text1"/>
          <w:sz w:val="24"/>
          <w:szCs w:val="24"/>
          <w14:textFill>
            <w14:solidFill>
              <w14:schemeClr w14:val="tx1"/>
            </w14:solidFill>
          </w14:textFill>
        </w:rPr>
        <w:t>式中</w:t>
      </w:r>
      <w:r>
        <w:rPr>
          <w:color w:val="000000" w:themeColor="text1"/>
          <w:sz w:val="24"/>
          <w:szCs w:val="24"/>
          <w:lang w:val="pt-BR"/>
          <w14:textFill>
            <w14:solidFill>
              <w14:schemeClr w14:val="tx1"/>
            </w14:solidFill>
          </w14:textFill>
        </w:rPr>
        <w:t>：</w:t>
      </w:r>
    </w:p>
    <w:p w14:paraId="306ACE63">
      <w:pPr>
        <w:pStyle w:val="6"/>
        <w:keepNext w:val="0"/>
        <w:keepLines w:val="0"/>
        <w:pageBreakBefore w:val="0"/>
        <w:wordWrap/>
        <w:overflowPunct/>
        <w:topLinePunct w:val="0"/>
        <w:bidi w:val="0"/>
        <w:adjustRightInd/>
        <w:spacing w:line="360" w:lineRule="auto"/>
        <w:ind w:firstLine="420"/>
        <w:rPr>
          <w:color w:val="000000" w:themeColor="text1"/>
          <w:sz w:val="24"/>
          <w:szCs w:val="24"/>
          <w14:textFill>
            <w14:solidFill>
              <w14:schemeClr w14:val="tx1"/>
            </w14:solidFill>
          </w14:textFill>
        </w:rPr>
      </w:pPr>
      <w:r>
        <w:rPr>
          <w:rFonts w:hint="eastAsia"/>
          <w:i/>
          <w:color w:val="000000" w:themeColor="text1"/>
          <w:sz w:val="24"/>
          <w:szCs w:val="24"/>
          <w14:textFill>
            <w14:solidFill>
              <w14:schemeClr w14:val="tx1"/>
            </w14:solidFill>
          </w14:textFill>
        </w:rPr>
        <w:t>n</w:t>
      </w:r>
      <w:r>
        <w:rPr>
          <w:rFonts w:hint="eastAsia"/>
          <w:color w:val="000000" w:themeColor="text1"/>
          <w:sz w:val="24"/>
          <w:szCs w:val="24"/>
          <w14:textFill>
            <w14:solidFill>
              <w14:schemeClr w14:val="tx1"/>
            </w14:solidFill>
          </w14:textFill>
        </w:rPr>
        <w:t>——最少采样袋数；</w:t>
      </w:r>
    </w:p>
    <w:p w14:paraId="0C7C8B6D">
      <w:pPr>
        <w:pStyle w:val="6"/>
        <w:keepNext w:val="0"/>
        <w:keepLines w:val="0"/>
        <w:pageBreakBefore w:val="0"/>
        <w:wordWrap/>
        <w:overflowPunct/>
        <w:topLinePunct w:val="0"/>
        <w:bidi w:val="0"/>
        <w:adjustRightInd/>
        <w:spacing w:line="360" w:lineRule="auto"/>
        <w:ind w:firstLine="420"/>
        <w:rPr>
          <w:color w:val="000000" w:themeColor="text1"/>
          <w:sz w:val="24"/>
          <w:szCs w:val="24"/>
          <w14:textFill>
            <w14:solidFill>
              <w14:schemeClr w14:val="tx1"/>
            </w14:solidFill>
          </w14:textFill>
        </w:rPr>
      </w:pPr>
      <w:r>
        <w:rPr>
          <w:i/>
          <w:color w:val="000000" w:themeColor="text1"/>
          <w:sz w:val="24"/>
          <w:szCs w:val="24"/>
          <w14:textFill>
            <w14:solidFill>
              <w14:schemeClr w14:val="tx1"/>
            </w14:solidFill>
          </w14:textFill>
        </w:rPr>
        <w:t>N</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每批产品总袋数</w:t>
      </w:r>
      <w:r>
        <w:rPr>
          <w:rFonts w:hint="eastAsia"/>
          <w:color w:val="000000" w:themeColor="text1"/>
          <w:sz w:val="24"/>
          <w:szCs w:val="24"/>
          <w14:textFill>
            <w14:solidFill>
              <w14:schemeClr w14:val="tx1"/>
            </w14:solidFill>
          </w14:textFill>
        </w:rPr>
        <w:t>。</w:t>
      </w:r>
    </w:p>
    <w:p w14:paraId="20FD97D0">
      <w:pPr>
        <w:pStyle w:val="6"/>
        <w:keepNext w:val="0"/>
        <w:keepLines w:val="0"/>
        <w:pageBreakBefore w:val="0"/>
        <w:wordWrap/>
        <w:overflowPunct/>
        <w:topLinePunct w:val="0"/>
        <w:bidi w:val="0"/>
        <w:adjustRightInd/>
        <w:spacing w:line="360" w:lineRule="auto"/>
        <w:ind w:firstLine="42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按表</w:t>
      </w:r>
      <w:r>
        <w:rPr>
          <w:rFonts w:hint="eastAsia"/>
          <w:color w:val="000000" w:themeColor="text1"/>
          <w:sz w:val="24"/>
          <w:szCs w:val="24"/>
          <w14:textFill>
            <w14:solidFill>
              <w14:schemeClr w14:val="tx1"/>
            </w14:solidFill>
          </w14:textFill>
        </w:rPr>
        <w:t>2</w:t>
      </w:r>
      <w:r>
        <w:rPr>
          <w:color w:val="000000" w:themeColor="text1"/>
          <w:sz w:val="24"/>
          <w:szCs w:val="24"/>
          <w14:textFill>
            <w14:solidFill>
              <w14:schemeClr w14:val="tx1"/>
            </w14:solidFill>
          </w14:textFill>
        </w:rPr>
        <w:t>或式</w:t>
      </w:r>
      <w:r>
        <w:rPr>
          <w:rFonts w:hint="eastAsia"/>
          <w:color w:val="000000" w:themeColor="text1"/>
          <w:sz w:val="24"/>
          <w:szCs w:val="24"/>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7</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计算结果，随机抽取一定量袋数，用采样器从每袋最长对角线插入至袋的三分之二处，取出不少于100</w:t>
      </w:r>
      <w:r>
        <w:rPr>
          <w:rFonts w:hint="eastAsia"/>
          <w:color w:val="000000" w:themeColor="text1"/>
          <w:sz w:val="24"/>
          <w:szCs w:val="24"/>
          <w14:textFill>
            <w14:solidFill>
              <w14:schemeClr w14:val="tx1"/>
            </w14:solidFill>
          </w14:textFill>
        </w:rPr>
        <w:t xml:space="preserve"> </w:t>
      </w:r>
      <w:r>
        <w:rPr>
          <w:color w:val="000000" w:themeColor="text1"/>
          <w:sz w:val="24"/>
          <w:szCs w:val="24"/>
          <w14:textFill>
            <w14:solidFill>
              <w14:schemeClr w14:val="tx1"/>
            </w14:solidFill>
          </w14:textFill>
        </w:rPr>
        <w:t>g的样品，总的取样量不少于2</w:t>
      </w:r>
      <w:r>
        <w:rPr>
          <w:rFonts w:hint="eastAsia"/>
          <w:color w:val="000000" w:themeColor="text1"/>
          <w:sz w:val="24"/>
          <w:szCs w:val="24"/>
          <w14:textFill>
            <w14:solidFill>
              <w14:schemeClr w14:val="tx1"/>
            </w14:solidFill>
          </w14:textFill>
        </w:rPr>
        <w:t xml:space="preserve"> </w:t>
      </w:r>
      <w:r>
        <w:rPr>
          <w:color w:val="000000" w:themeColor="text1"/>
          <w:sz w:val="24"/>
          <w:szCs w:val="24"/>
          <w14:textFill>
            <w14:solidFill>
              <w14:schemeClr w14:val="tx1"/>
            </w14:solidFill>
          </w14:textFill>
        </w:rPr>
        <w:t>kg。</w:t>
      </w:r>
      <w:r>
        <w:rPr>
          <w:color w:val="000000" w:themeColor="text1"/>
          <w:sz w:val="24"/>
          <w:szCs w:val="24"/>
          <w:highlight w:val="none"/>
          <w14:textFill>
            <w14:solidFill>
              <w14:schemeClr w14:val="tx1"/>
            </w14:solidFill>
          </w14:textFill>
        </w:rPr>
        <w:t>稳定性掺混肥料按照</w:t>
      </w:r>
      <w:r>
        <w:rPr>
          <w:rFonts w:hint="eastAsia"/>
          <w:color w:val="000000" w:themeColor="text1"/>
          <w:sz w:val="24"/>
          <w:szCs w:val="24"/>
          <w:highlight w:val="none"/>
          <w14:textFill>
            <w14:solidFill>
              <w14:schemeClr w14:val="tx1"/>
            </w14:solidFill>
          </w14:textFill>
        </w:rPr>
        <w:t>GB</w:t>
      </w:r>
      <w:r>
        <w:rPr>
          <w:rFonts w:hint="eastAsia"/>
          <w:color w:val="000000" w:themeColor="text1"/>
          <w:sz w:val="24"/>
          <w:szCs w:val="24"/>
          <w:highlight w:val="none"/>
          <w:lang w:val="en-US" w:eastAsia="zh-CN"/>
          <w14:textFill>
            <w14:solidFill>
              <w14:schemeClr w14:val="tx1"/>
            </w14:solidFill>
          </w14:textFill>
        </w:rPr>
        <w:t>/T</w:t>
      </w:r>
      <w:r>
        <w:rPr>
          <w:rFonts w:hint="eastAsia"/>
          <w:color w:val="000000" w:themeColor="text1"/>
          <w:sz w:val="24"/>
          <w:szCs w:val="24"/>
          <w:highlight w:val="none"/>
          <w14:textFill>
            <w14:solidFill>
              <w14:schemeClr w14:val="tx1"/>
            </w14:solidFill>
          </w14:textFill>
        </w:rPr>
        <w:t xml:space="preserve"> 21633中</w:t>
      </w:r>
      <w:r>
        <w:rPr>
          <w:color w:val="000000" w:themeColor="text1"/>
          <w:sz w:val="24"/>
          <w:szCs w:val="24"/>
          <w:highlight w:val="none"/>
          <w14:textFill>
            <w14:solidFill>
              <w14:schemeClr w14:val="tx1"/>
            </w14:solidFill>
          </w14:textFill>
        </w:rPr>
        <w:t>规定</w:t>
      </w:r>
      <w:r>
        <w:rPr>
          <w:rFonts w:hint="eastAsia"/>
          <w:color w:val="000000" w:themeColor="text1"/>
          <w:sz w:val="24"/>
          <w:szCs w:val="24"/>
          <w:highlight w:val="none"/>
          <w14:textFill>
            <w14:solidFill>
              <w14:schemeClr w14:val="tx1"/>
            </w14:solidFill>
          </w14:textFill>
        </w:rPr>
        <w:t>进行</w:t>
      </w:r>
      <w:r>
        <w:rPr>
          <w:color w:val="000000" w:themeColor="text1"/>
          <w:sz w:val="24"/>
          <w:szCs w:val="24"/>
          <w:highlight w:val="none"/>
          <w14:textFill>
            <w14:solidFill>
              <w14:schemeClr w14:val="tx1"/>
            </w14:solidFill>
          </w14:textFill>
        </w:rPr>
        <w:t>采样</w:t>
      </w:r>
      <w:r>
        <w:rPr>
          <w:rFonts w:hint="eastAsia"/>
          <w:color w:val="000000" w:themeColor="text1"/>
          <w:sz w:val="24"/>
          <w:szCs w:val="24"/>
          <w:highlight w:val="none"/>
          <w14:textFill>
            <w14:solidFill>
              <w14:schemeClr w14:val="tx1"/>
            </w14:solidFill>
          </w14:textFill>
        </w:rPr>
        <w:t>。</w:t>
      </w:r>
    </w:p>
    <w:p w14:paraId="3BB5B76B">
      <w:pPr>
        <w:pStyle w:val="19"/>
        <w:keepNext w:val="0"/>
        <w:keepLines w:val="0"/>
        <w:pageBreakBefore w:val="0"/>
        <w:numPr>
          <w:ilvl w:val="3"/>
          <w:numId w:val="0"/>
        </w:numPr>
        <w:wordWrap/>
        <w:overflowPunct/>
        <w:topLinePunct w:val="0"/>
        <w:bidi w:val="0"/>
        <w:adjustRightInd/>
        <w:spacing w:before="156" w:after="156" w:line="360" w:lineRule="auto"/>
        <w:ind w:leftChars="0"/>
        <w:rPr>
          <w:color w:val="000000" w:themeColor="text1"/>
          <w:sz w:val="24"/>
          <w:szCs w:val="24"/>
          <w14:textFill>
            <w14:solidFill>
              <w14:schemeClr w14:val="tx1"/>
            </w14:solidFill>
          </w14:textFill>
        </w:rPr>
      </w:pPr>
      <w:bookmarkStart w:id="22" w:name="_Toc231994796"/>
      <w:r>
        <w:rPr>
          <w:rFonts w:hint="eastAsia"/>
          <w:color w:val="000000" w:themeColor="text1"/>
          <w:sz w:val="24"/>
          <w:szCs w:val="24"/>
          <w:lang w:val="en-US" w:eastAsia="zh-CN"/>
          <w14:textFill>
            <w14:solidFill>
              <w14:schemeClr w14:val="tx1"/>
            </w14:solidFill>
          </w14:textFill>
        </w:rPr>
        <w:t xml:space="preserve">6.3.2 </w:t>
      </w:r>
      <w:r>
        <w:rPr>
          <w:color w:val="000000" w:themeColor="text1"/>
          <w:sz w:val="24"/>
          <w:szCs w:val="24"/>
          <w14:textFill>
            <w14:solidFill>
              <w14:schemeClr w14:val="tx1"/>
            </w14:solidFill>
          </w14:textFill>
        </w:rPr>
        <w:t>散装产品</w:t>
      </w:r>
      <w:bookmarkEnd w:id="22"/>
    </w:p>
    <w:p w14:paraId="454A47D5">
      <w:pPr>
        <w:pStyle w:val="6"/>
        <w:keepNext w:val="0"/>
        <w:keepLines w:val="0"/>
        <w:pageBreakBefore w:val="0"/>
        <w:wordWrap/>
        <w:overflowPunct/>
        <w:topLinePunct w:val="0"/>
        <w:bidi w:val="0"/>
        <w:adjustRightInd/>
        <w:spacing w:line="360" w:lineRule="auto"/>
        <w:ind w:firstLine="420"/>
        <w:rPr>
          <w:color w:val="000000" w:themeColor="text1"/>
          <w:sz w:val="24"/>
          <w:szCs w:val="24"/>
          <w14:textFill>
            <w14:solidFill>
              <w14:schemeClr w14:val="tx1"/>
            </w14:solidFill>
          </w14:textFill>
        </w:rPr>
      </w:pPr>
      <w:r>
        <w:rPr>
          <w:rFonts w:hAnsi="宋体"/>
          <w:color w:val="000000" w:themeColor="text1"/>
          <w:sz w:val="24"/>
          <w:szCs w:val="24"/>
          <w14:textFill>
            <w14:solidFill>
              <w14:schemeClr w14:val="tx1"/>
            </w14:solidFill>
          </w14:textFill>
        </w:rPr>
        <w:t>按</w:t>
      </w:r>
      <w:r>
        <w:rPr>
          <w:color w:val="000000" w:themeColor="text1"/>
          <w:sz w:val="24"/>
          <w:szCs w:val="24"/>
          <w14:textFill>
            <w14:solidFill>
              <w14:schemeClr w14:val="tx1"/>
            </w14:solidFill>
          </w14:textFill>
        </w:rPr>
        <w:t>GB/T 6679</w:t>
      </w:r>
      <w:r>
        <w:rPr>
          <w:rFonts w:hint="eastAsia"/>
          <w:color w:val="000000" w:themeColor="text1"/>
          <w:sz w:val="24"/>
          <w:szCs w:val="24"/>
          <w14:textFill>
            <w14:solidFill>
              <w14:schemeClr w14:val="tx1"/>
            </w14:solidFill>
          </w14:textFill>
        </w:rPr>
        <w:t>的</w:t>
      </w:r>
      <w:r>
        <w:rPr>
          <w:rFonts w:hAnsi="宋体"/>
          <w:color w:val="000000" w:themeColor="text1"/>
          <w:sz w:val="24"/>
          <w:szCs w:val="24"/>
          <w14:textFill>
            <w14:solidFill>
              <w14:schemeClr w14:val="tx1"/>
            </w14:solidFill>
          </w14:textFill>
        </w:rPr>
        <w:t>规定进行。</w:t>
      </w:r>
    </w:p>
    <w:p w14:paraId="4DB2868D">
      <w:pPr>
        <w:pStyle w:val="19"/>
        <w:keepNext w:val="0"/>
        <w:keepLines w:val="0"/>
        <w:pageBreakBefore w:val="0"/>
        <w:numPr>
          <w:ilvl w:val="3"/>
          <w:numId w:val="0"/>
        </w:numPr>
        <w:wordWrap/>
        <w:overflowPunct/>
        <w:topLinePunct w:val="0"/>
        <w:bidi w:val="0"/>
        <w:adjustRightInd/>
        <w:spacing w:before="156" w:after="156" w:line="360" w:lineRule="auto"/>
        <w:ind w:leftChars="0"/>
        <w:rPr>
          <w:color w:val="000000" w:themeColor="text1"/>
          <w:sz w:val="24"/>
          <w:szCs w:val="24"/>
          <w14:textFill>
            <w14:solidFill>
              <w14:schemeClr w14:val="tx1"/>
            </w14:solidFill>
          </w14:textFill>
        </w:rPr>
      </w:pPr>
      <w:bookmarkStart w:id="23" w:name="_Toc231994797"/>
      <w:r>
        <w:rPr>
          <w:rFonts w:hint="eastAsia"/>
          <w:color w:val="000000" w:themeColor="text1"/>
          <w:sz w:val="24"/>
          <w:szCs w:val="24"/>
          <w:lang w:val="en-US" w:eastAsia="zh-CN"/>
          <w14:textFill>
            <w14:solidFill>
              <w14:schemeClr w14:val="tx1"/>
            </w14:solidFill>
          </w14:textFill>
        </w:rPr>
        <w:t xml:space="preserve">6.3.3 </w:t>
      </w:r>
      <w:r>
        <w:rPr>
          <w:rFonts w:hint="eastAsia"/>
          <w:color w:val="000000" w:themeColor="text1"/>
          <w:sz w:val="24"/>
          <w:szCs w:val="24"/>
          <w14:textFill>
            <w14:solidFill>
              <w14:schemeClr w14:val="tx1"/>
            </w14:solidFill>
          </w14:textFill>
        </w:rPr>
        <w:t>液体产品</w:t>
      </w:r>
      <w:bookmarkEnd w:id="23"/>
    </w:p>
    <w:p w14:paraId="455CF3DF">
      <w:pPr>
        <w:pStyle w:val="6"/>
        <w:keepNext w:val="0"/>
        <w:keepLines w:val="0"/>
        <w:pageBreakBefore w:val="0"/>
        <w:wordWrap/>
        <w:overflowPunct/>
        <w:topLinePunct w:val="0"/>
        <w:bidi w:val="0"/>
        <w:adjustRightInd/>
        <w:spacing w:line="360" w:lineRule="auto"/>
        <w:rPr>
          <w:rFonts w:hint="eastAsia"/>
          <w:color w:val="000000" w:themeColor="text1"/>
          <w:sz w:val="24"/>
          <w:szCs w:val="24"/>
          <w:lang w:val="en-US" w:eastAsia="zh-CN"/>
          <w14:textFill>
            <w14:solidFill>
              <w14:schemeClr w14:val="tx1"/>
            </w14:solidFill>
          </w14:textFill>
        </w:rPr>
      </w:pPr>
      <w:r>
        <w:rPr>
          <w:color w:val="000000" w:themeColor="text1"/>
          <w:sz w:val="24"/>
          <w:szCs w:val="24"/>
          <w14:textFill>
            <w14:solidFill>
              <w14:schemeClr w14:val="tx1"/>
            </w14:solidFill>
          </w14:textFill>
        </w:rPr>
        <w:t>按GB/T 6680的规定执行。采样单元数和样品量按GB/T 6678的</w:t>
      </w:r>
      <w:r>
        <w:rPr>
          <w:rFonts w:hint="eastAsia"/>
          <w:color w:val="000000" w:themeColor="text1"/>
          <w:sz w:val="24"/>
          <w:szCs w:val="24"/>
          <w:lang w:val="en-US" w:eastAsia="zh-CN"/>
          <w14:textFill>
            <w14:solidFill>
              <w14:schemeClr w14:val="tx1"/>
            </w14:solidFill>
          </w14:textFill>
        </w:rPr>
        <w:t>规定执行</w:t>
      </w:r>
      <w:r>
        <w:rPr>
          <w:rFonts w:hint="eastAsia"/>
          <w:color w:val="000000" w:themeColor="text1"/>
          <w:sz w:val="24"/>
          <w:szCs w:val="24"/>
          <w14:textFill>
            <w14:solidFill>
              <w14:schemeClr w14:val="tx1"/>
            </w14:solidFill>
          </w14:textFill>
        </w:rPr>
        <w:t>。</w:t>
      </w:r>
    </w:p>
    <w:p w14:paraId="6C23A188">
      <w:pPr>
        <w:pStyle w:val="6"/>
        <w:keepNext w:val="0"/>
        <w:keepLines w:val="0"/>
        <w:pageBreakBefore w:val="0"/>
        <w:wordWrap/>
        <w:overflowPunct/>
        <w:topLinePunct w:val="0"/>
        <w:bidi w:val="0"/>
        <w:adjustRightInd/>
        <w:spacing w:line="360" w:lineRule="auto"/>
        <w:ind w:left="0" w:leftChars="0" w:firstLine="0" w:firstLineChars="0"/>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pPr>
      <w:r>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t>6.4　样品的缩分</w:t>
      </w:r>
    </w:p>
    <w:p w14:paraId="3009628A">
      <w:pPr>
        <w:pStyle w:val="19"/>
        <w:keepNext w:val="0"/>
        <w:keepLines w:val="0"/>
        <w:pageBreakBefore w:val="0"/>
        <w:numPr>
          <w:ilvl w:val="3"/>
          <w:numId w:val="0"/>
        </w:numPr>
        <w:wordWrap/>
        <w:overflowPunct/>
        <w:topLinePunct w:val="0"/>
        <w:bidi w:val="0"/>
        <w:adjustRightInd/>
        <w:spacing w:before="156" w:after="156" w:line="360" w:lineRule="auto"/>
        <w:ind w:leftChars="0"/>
        <w:rPr>
          <w:color w:val="000000" w:themeColor="text1"/>
          <w:sz w:val="24"/>
          <w:szCs w:val="24"/>
          <w14:textFill>
            <w14:solidFill>
              <w14:schemeClr w14:val="tx1"/>
            </w14:solidFill>
          </w14:textFill>
        </w:rPr>
      </w:pPr>
      <w:bookmarkStart w:id="24" w:name="_Toc231994799"/>
      <w:r>
        <w:rPr>
          <w:rFonts w:hint="eastAsia"/>
          <w:color w:val="000000" w:themeColor="text1"/>
          <w:sz w:val="24"/>
          <w:szCs w:val="24"/>
          <w:lang w:val="en-US" w:eastAsia="zh-CN"/>
          <w14:textFill>
            <w14:solidFill>
              <w14:schemeClr w14:val="tx1"/>
            </w14:solidFill>
          </w14:textFill>
        </w:rPr>
        <w:t xml:space="preserve">6.4.1 </w:t>
      </w:r>
      <w:r>
        <w:rPr>
          <w:color w:val="000000" w:themeColor="text1"/>
          <w:sz w:val="24"/>
          <w:szCs w:val="24"/>
          <w14:textFill>
            <w14:solidFill>
              <w14:schemeClr w14:val="tx1"/>
            </w14:solidFill>
          </w14:textFill>
        </w:rPr>
        <w:t>颗粒状、粉状样品</w:t>
      </w:r>
      <w:bookmarkEnd w:id="24"/>
    </w:p>
    <w:p w14:paraId="73160DD0">
      <w:pPr>
        <w:pStyle w:val="6"/>
        <w:keepNext w:val="0"/>
        <w:keepLines w:val="0"/>
        <w:pageBreakBefore w:val="0"/>
        <w:wordWrap/>
        <w:overflowPunct/>
        <w:topLinePunct w:val="0"/>
        <w:bidi w:val="0"/>
        <w:adjustRightInd/>
        <w:spacing w:line="360" w:lineRule="auto"/>
        <w:ind w:firstLine="42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将</w:t>
      </w:r>
      <w:r>
        <w:rPr>
          <w:rFonts w:hint="eastAsia"/>
          <w:color w:val="000000" w:themeColor="text1"/>
          <w:sz w:val="24"/>
          <w:szCs w:val="24"/>
          <w14:textFill>
            <w14:solidFill>
              <w14:schemeClr w14:val="tx1"/>
            </w14:solidFill>
          </w14:textFill>
        </w:rPr>
        <w:t>按6</w:t>
      </w:r>
      <w:r>
        <w:rPr>
          <w:color w:val="000000" w:themeColor="text1"/>
          <w:sz w:val="24"/>
          <w:szCs w:val="24"/>
          <w14:textFill>
            <w14:solidFill>
              <w14:schemeClr w14:val="tx1"/>
            </w14:solidFill>
          </w14:textFill>
        </w:rPr>
        <w:t>.3.1</w:t>
      </w:r>
      <w:r>
        <w:rPr>
          <w:rFonts w:hint="eastAsia"/>
          <w:color w:val="000000" w:themeColor="text1"/>
          <w:sz w:val="24"/>
          <w:szCs w:val="24"/>
          <w14:textFill>
            <w14:solidFill>
              <w14:schemeClr w14:val="tx1"/>
            </w14:solidFill>
          </w14:textFill>
        </w:rPr>
        <w:t>或6.</w:t>
      </w:r>
      <w:r>
        <w:rPr>
          <w:color w:val="000000" w:themeColor="text1"/>
          <w:sz w:val="24"/>
          <w:szCs w:val="24"/>
          <w14:textFill>
            <w14:solidFill>
              <w14:schemeClr w14:val="tx1"/>
            </w14:solidFill>
          </w14:textFill>
        </w:rPr>
        <w:t>3</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2采取的样品迅速混匀，用四分法将样品缩分至1000 g，分装于两个洁净、干燥的500</w:t>
      </w:r>
      <w:r>
        <w:rPr>
          <w:rFonts w:hint="eastAsia"/>
          <w:color w:val="000000" w:themeColor="text1"/>
          <w:sz w:val="24"/>
          <w:szCs w:val="24"/>
          <w:lang w:val="en-US" w:eastAsia="zh-CN"/>
          <w14:textFill>
            <w14:solidFill>
              <w14:schemeClr w14:val="tx1"/>
            </w14:solidFill>
          </w14:textFill>
        </w:rPr>
        <w:t xml:space="preserve"> </w:t>
      </w:r>
      <w:r>
        <w:rPr>
          <w:color w:val="000000" w:themeColor="text1"/>
          <w:sz w:val="24"/>
          <w:szCs w:val="24"/>
          <w14:textFill>
            <w14:solidFill>
              <w14:schemeClr w14:val="tx1"/>
            </w14:solidFill>
          </w14:textFill>
        </w:rPr>
        <w:t>mL具有磨口塞的广口瓶中，密封、贴上标签，注明生产企业名称、产品名称、批号、取样人姓名，一瓶作产品质量分析，一瓶保存</w:t>
      </w:r>
      <w:r>
        <w:rPr>
          <w:rFonts w:hint="eastAsia"/>
          <w:color w:val="000000" w:themeColor="text1"/>
          <w:sz w:val="24"/>
          <w:szCs w:val="24"/>
          <w:lang w:val="en-US" w:eastAsia="zh-CN"/>
          <w14:textFill>
            <w14:solidFill>
              <w14:schemeClr w14:val="tx1"/>
            </w14:solidFill>
          </w14:textFill>
        </w:rPr>
        <w:t>两</w:t>
      </w:r>
      <w:r>
        <w:rPr>
          <w:color w:val="000000" w:themeColor="text1"/>
          <w:sz w:val="24"/>
          <w:szCs w:val="24"/>
          <w14:textFill>
            <w14:solidFill>
              <w14:schemeClr w14:val="tx1"/>
            </w14:solidFill>
          </w14:textFill>
        </w:rPr>
        <w:t>个月，以备查用。</w:t>
      </w:r>
    </w:p>
    <w:p w14:paraId="301CE1EB">
      <w:pPr>
        <w:pStyle w:val="19"/>
        <w:keepNext w:val="0"/>
        <w:keepLines w:val="0"/>
        <w:pageBreakBefore w:val="0"/>
        <w:numPr>
          <w:ilvl w:val="3"/>
          <w:numId w:val="0"/>
        </w:numPr>
        <w:wordWrap/>
        <w:overflowPunct/>
        <w:topLinePunct w:val="0"/>
        <w:bidi w:val="0"/>
        <w:adjustRightInd/>
        <w:spacing w:before="156" w:after="156" w:line="360" w:lineRule="auto"/>
        <w:ind w:leftChars="0"/>
        <w:rPr>
          <w:color w:val="000000" w:themeColor="text1"/>
          <w:sz w:val="24"/>
          <w:szCs w:val="24"/>
          <w14:textFill>
            <w14:solidFill>
              <w14:schemeClr w14:val="tx1"/>
            </w14:solidFill>
          </w14:textFill>
        </w:rPr>
      </w:pPr>
      <w:bookmarkStart w:id="25" w:name="_Toc231994800"/>
      <w:r>
        <w:rPr>
          <w:rFonts w:hint="eastAsia"/>
          <w:color w:val="000000" w:themeColor="text1"/>
          <w:sz w:val="24"/>
          <w:szCs w:val="24"/>
          <w:lang w:val="en-US" w:eastAsia="zh-CN"/>
          <w14:textFill>
            <w14:solidFill>
              <w14:schemeClr w14:val="tx1"/>
            </w14:solidFill>
          </w14:textFill>
        </w:rPr>
        <w:t xml:space="preserve">6.4.2 </w:t>
      </w:r>
      <w:r>
        <w:rPr>
          <w:color w:val="000000" w:themeColor="text1"/>
          <w:sz w:val="24"/>
          <w:szCs w:val="24"/>
          <w14:textFill>
            <w14:solidFill>
              <w14:schemeClr w14:val="tx1"/>
            </w14:solidFill>
          </w14:textFill>
        </w:rPr>
        <w:t>液体样品</w:t>
      </w:r>
      <w:bookmarkEnd w:id="25"/>
    </w:p>
    <w:p w14:paraId="5F13C9DD">
      <w:pPr>
        <w:pStyle w:val="6"/>
        <w:keepNext w:val="0"/>
        <w:keepLines w:val="0"/>
        <w:pageBreakBefore w:val="0"/>
        <w:wordWrap/>
        <w:overflowPunct/>
        <w:topLinePunct w:val="0"/>
        <w:bidi w:val="0"/>
        <w:adjustRightInd/>
        <w:spacing w:line="360" w:lineRule="auto"/>
        <w:ind w:firstLine="42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将</w:t>
      </w:r>
      <w:r>
        <w:rPr>
          <w:rFonts w:hint="eastAsia"/>
          <w:color w:val="000000" w:themeColor="text1"/>
          <w:sz w:val="24"/>
          <w:szCs w:val="24"/>
          <w14:textFill>
            <w14:solidFill>
              <w14:schemeClr w14:val="tx1"/>
            </w14:solidFill>
          </w14:textFill>
        </w:rPr>
        <w:t>按6.</w:t>
      </w:r>
      <w:r>
        <w:rPr>
          <w:color w:val="000000" w:themeColor="text1"/>
          <w:sz w:val="24"/>
          <w:szCs w:val="24"/>
          <w14:textFill>
            <w14:solidFill>
              <w14:schemeClr w14:val="tx1"/>
            </w14:solidFill>
          </w14:textFill>
        </w:rPr>
        <w:t>3</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3</w:t>
      </w:r>
      <w:r>
        <w:rPr>
          <w:rFonts w:hint="eastAsia"/>
          <w:color w:val="000000" w:themeColor="text1"/>
          <w:sz w:val="24"/>
          <w:szCs w:val="24"/>
          <w14:textFill>
            <w14:solidFill>
              <w14:schemeClr w14:val="tx1"/>
            </w14:solidFill>
          </w14:textFill>
        </w:rPr>
        <w:t>采取的样品</w:t>
      </w:r>
      <w:r>
        <w:rPr>
          <w:color w:val="000000" w:themeColor="text1"/>
          <w:sz w:val="24"/>
          <w:szCs w:val="24"/>
          <w14:textFill>
            <w14:solidFill>
              <w14:schemeClr w14:val="tx1"/>
            </w14:solidFill>
          </w14:textFill>
        </w:rPr>
        <w:t>，等量分装两个清洁干燥、密封良好的细口瓶中，密封、贴上标签，注明生产企业名称、产品名称、批号、取样人姓名，一瓶作产品质量分析，一瓶保存</w:t>
      </w:r>
      <w:r>
        <w:rPr>
          <w:rFonts w:hint="eastAsia"/>
          <w:color w:val="000000" w:themeColor="text1"/>
          <w:sz w:val="24"/>
          <w:szCs w:val="24"/>
          <w:lang w:val="en-US" w:eastAsia="zh-CN"/>
          <w14:textFill>
            <w14:solidFill>
              <w14:schemeClr w14:val="tx1"/>
            </w14:solidFill>
          </w14:textFill>
        </w:rPr>
        <w:t>两</w:t>
      </w:r>
      <w:r>
        <w:rPr>
          <w:color w:val="000000" w:themeColor="text1"/>
          <w:sz w:val="24"/>
          <w:szCs w:val="24"/>
          <w14:textFill>
            <w14:solidFill>
              <w14:schemeClr w14:val="tx1"/>
            </w14:solidFill>
          </w14:textFill>
        </w:rPr>
        <w:t>个月，以备查用。</w:t>
      </w:r>
    </w:p>
    <w:p w14:paraId="35CC5C48">
      <w:pPr>
        <w:pStyle w:val="8"/>
        <w:keepNext w:val="0"/>
        <w:keepLines w:val="0"/>
        <w:pageBreakBefore w:val="0"/>
        <w:numPr>
          <w:ilvl w:val="2"/>
          <w:numId w:val="0"/>
        </w:numPr>
        <w:wordWrap/>
        <w:overflowPunct/>
        <w:topLinePunct w:val="0"/>
        <w:bidi w:val="0"/>
        <w:adjustRightInd/>
        <w:spacing w:before="156" w:after="156"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6.5 样品制备</w:t>
      </w:r>
    </w:p>
    <w:p w14:paraId="0148A42A">
      <w:pPr>
        <w:pStyle w:val="19"/>
        <w:keepNext w:val="0"/>
        <w:keepLines w:val="0"/>
        <w:pageBreakBefore w:val="0"/>
        <w:numPr>
          <w:ilvl w:val="3"/>
          <w:numId w:val="0"/>
        </w:numPr>
        <w:wordWrap/>
        <w:overflowPunct/>
        <w:topLinePunct w:val="0"/>
        <w:bidi w:val="0"/>
        <w:adjustRightInd/>
        <w:spacing w:before="156" w:after="156"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6.5.1 颗粒状、粉状</w:t>
      </w:r>
      <w:r>
        <w:rPr>
          <w:color w:val="000000" w:themeColor="text1"/>
          <w:sz w:val="24"/>
          <w:szCs w:val="24"/>
          <w14:textFill>
            <w14:solidFill>
              <w14:schemeClr w14:val="tx1"/>
            </w14:solidFill>
          </w14:textFill>
        </w:rPr>
        <w:t>样品</w:t>
      </w:r>
    </w:p>
    <w:p w14:paraId="41D9C3A7">
      <w:pPr>
        <w:pStyle w:val="6"/>
        <w:keepNext w:val="0"/>
        <w:keepLines w:val="0"/>
        <w:pageBreakBefore w:val="0"/>
        <w:wordWrap/>
        <w:overflowPunct/>
        <w:topLinePunct w:val="0"/>
        <w:bidi w:val="0"/>
        <w:adjustRightInd/>
        <w:spacing w:line="360" w:lineRule="auto"/>
        <w:ind w:firstLine="42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由6.4.1中取一瓶500</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g 缩分样品，经多次缩分后取出约100</w:t>
      </w:r>
      <w:r>
        <w:rPr>
          <w:rFonts w:hint="eastAsia"/>
          <w:color w:val="000000" w:themeColor="text1"/>
          <w:sz w:val="24"/>
          <w:szCs w:val="24"/>
          <w:lang w:val="en-US" w:eastAsia="zh-CN"/>
          <w14:textFill>
            <w14:solidFill>
              <w14:schemeClr w14:val="tx1"/>
            </w14:solidFill>
          </w14:textFill>
        </w:rPr>
        <w:t xml:space="preserve"> g </w:t>
      </w:r>
      <w:r>
        <w:rPr>
          <w:rFonts w:hint="eastAsia"/>
          <w:color w:val="000000" w:themeColor="text1"/>
          <w:sz w:val="24"/>
          <w:szCs w:val="24"/>
          <w14:textFill>
            <w14:solidFill>
              <w14:schemeClr w14:val="tx1"/>
            </w14:solidFill>
          </w14:textFill>
        </w:rPr>
        <w:t>样品，迅速研磨至全部通过0.25 mm  孔径试验筛</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如样品潮湿，可以通过1.00 mm 孔径试验筛</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混合均匀，置于洁净、干燥瓶中，作成分或性能分析。余下实验室样晶供其他指标测定。</w:t>
      </w:r>
    </w:p>
    <w:p w14:paraId="59434F90">
      <w:pPr>
        <w:pStyle w:val="19"/>
        <w:keepNext w:val="0"/>
        <w:keepLines w:val="0"/>
        <w:pageBreakBefore w:val="0"/>
        <w:numPr>
          <w:ilvl w:val="3"/>
          <w:numId w:val="0"/>
        </w:numPr>
        <w:wordWrap/>
        <w:overflowPunct/>
        <w:topLinePunct w:val="0"/>
        <w:bidi w:val="0"/>
        <w:adjustRightInd/>
        <w:spacing w:before="156" w:after="156"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6.5.2 </w:t>
      </w:r>
      <w:r>
        <w:rPr>
          <w:color w:val="000000" w:themeColor="text1"/>
          <w:sz w:val="24"/>
          <w:szCs w:val="24"/>
          <w14:textFill>
            <w14:solidFill>
              <w14:schemeClr w14:val="tx1"/>
            </w14:solidFill>
          </w14:textFill>
        </w:rPr>
        <w:t>液体样品</w:t>
      </w:r>
    </w:p>
    <w:p w14:paraId="1542EA94">
      <w:pPr>
        <w:pStyle w:val="6"/>
        <w:keepNext w:val="0"/>
        <w:keepLines w:val="0"/>
        <w:pageBreakBefore w:val="0"/>
        <w:wordWrap/>
        <w:overflowPunct/>
        <w:topLinePunct w:val="0"/>
        <w:bidi w:val="0"/>
        <w:adjustRightInd/>
        <w:spacing w:line="360" w:lineRule="auto"/>
        <w:ind w:firstLine="42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将6.4.2中样品混合均匀，置于洁净、干燥瓶中，供测定用。</w:t>
      </w:r>
    </w:p>
    <w:p w14:paraId="153406CB">
      <w:pPr>
        <w:pStyle w:val="8"/>
        <w:keepNext w:val="0"/>
        <w:keepLines w:val="0"/>
        <w:pageBreakBefore w:val="0"/>
        <w:numPr>
          <w:ilvl w:val="2"/>
          <w:numId w:val="0"/>
        </w:numPr>
        <w:wordWrap/>
        <w:overflowPunct/>
        <w:topLinePunct w:val="0"/>
        <w:bidi w:val="0"/>
        <w:adjustRightInd/>
        <w:spacing w:before="156" w:after="156" w:line="360" w:lineRule="auto"/>
        <w:ind w:leftChars="0"/>
        <w:rPr>
          <w:color w:val="000000" w:themeColor="text1"/>
          <w:sz w:val="24"/>
          <w:szCs w:val="24"/>
          <w14:textFill>
            <w14:solidFill>
              <w14:schemeClr w14:val="tx1"/>
            </w14:solidFill>
          </w14:textFill>
        </w:rPr>
      </w:pPr>
      <w:bookmarkStart w:id="26" w:name="_Toc231994801"/>
      <w:bookmarkStart w:id="27" w:name="_Toc231994847"/>
      <w:r>
        <w:rPr>
          <w:rFonts w:hint="eastAsia"/>
          <w:color w:val="000000" w:themeColor="text1"/>
          <w:sz w:val="24"/>
          <w:szCs w:val="24"/>
          <w:lang w:val="en-US" w:eastAsia="zh-CN"/>
          <w14:textFill>
            <w14:solidFill>
              <w14:schemeClr w14:val="tx1"/>
            </w14:solidFill>
          </w14:textFill>
        </w:rPr>
        <w:t xml:space="preserve">6.6 </w:t>
      </w:r>
      <w:r>
        <w:rPr>
          <w:color w:val="000000" w:themeColor="text1"/>
          <w:sz w:val="24"/>
          <w:szCs w:val="24"/>
          <w14:textFill>
            <w14:solidFill>
              <w14:schemeClr w14:val="tx1"/>
            </w14:solidFill>
          </w14:textFill>
        </w:rPr>
        <w:t>结果判定</w:t>
      </w:r>
      <w:bookmarkEnd w:id="26"/>
      <w:bookmarkEnd w:id="27"/>
    </w:p>
    <w:p w14:paraId="07F5559E">
      <w:pPr>
        <w:pStyle w:val="24"/>
        <w:keepNext w:val="0"/>
        <w:keepLines w:val="0"/>
        <w:pageBreakBefore w:val="0"/>
        <w:numPr>
          <w:ilvl w:val="3"/>
          <w:numId w:val="0"/>
        </w:numPr>
        <w:wordWrap/>
        <w:overflowPunct/>
        <w:topLinePunct w:val="0"/>
        <w:bidi w:val="0"/>
        <w:adjustRightInd/>
        <w:spacing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6.6.1 </w:t>
      </w:r>
      <w:r>
        <w:rPr>
          <w:color w:val="000000" w:themeColor="text1"/>
          <w:sz w:val="24"/>
          <w:szCs w:val="24"/>
          <w14:textFill>
            <w14:solidFill>
              <w14:schemeClr w14:val="tx1"/>
            </w14:solidFill>
          </w14:textFill>
        </w:rPr>
        <w:t>本文件中产品质量指标合格判断，采用GB/T 8170中</w:t>
      </w:r>
      <w:r>
        <w:rPr>
          <w:rFonts w:hint="eastAsia"/>
          <w:color w:val="000000" w:themeColor="text1"/>
          <w:sz w:val="24"/>
          <w:szCs w:val="24"/>
          <w14:textFill>
            <w14:solidFill>
              <w14:schemeClr w14:val="tx1"/>
            </w14:solidFill>
          </w14:textFill>
        </w:rPr>
        <w:t>的“</w:t>
      </w:r>
      <w:r>
        <w:rPr>
          <w:color w:val="000000" w:themeColor="text1"/>
          <w:sz w:val="24"/>
          <w:szCs w:val="24"/>
          <w14:textFill>
            <w14:solidFill>
              <w14:schemeClr w14:val="tx1"/>
            </w14:solidFill>
          </w14:textFill>
        </w:rPr>
        <w:t>修约值比较法</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w:t>
      </w:r>
    </w:p>
    <w:p w14:paraId="69E246E4">
      <w:pPr>
        <w:pStyle w:val="24"/>
        <w:keepNext w:val="0"/>
        <w:keepLines w:val="0"/>
        <w:pageBreakBefore w:val="0"/>
        <w:numPr>
          <w:ilvl w:val="3"/>
          <w:numId w:val="0"/>
        </w:numPr>
        <w:wordWrap/>
        <w:overflowPunct/>
        <w:topLinePunct w:val="0"/>
        <w:bidi w:val="0"/>
        <w:adjustRightInd/>
        <w:spacing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6.6.2 </w:t>
      </w:r>
      <w:r>
        <w:rPr>
          <w:color w:val="000000" w:themeColor="text1"/>
          <w:sz w:val="24"/>
          <w:szCs w:val="24"/>
          <w14:textFill>
            <w14:solidFill>
              <w14:schemeClr w14:val="tx1"/>
            </w14:solidFill>
          </w14:textFill>
        </w:rPr>
        <w:t>出厂检验项目合格判定执行相应的产品标准。</w:t>
      </w:r>
    </w:p>
    <w:p w14:paraId="28C69762">
      <w:pPr>
        <w:pStyle w:val="24"/>
        <w:keepNext w:val="0"/>
        <w:keepLines w:val="0"/>
        <w:pageBreakBefore w:val="0"/>
        <w:numPr>
          <w:ilvl w:val="3"/>
          <w:numId w:val="0"/>
        </w:numPr>
        <w:wordWrap/>
        <w:overflowPunct/>
        <w:topLinePunct w:val="0"/>
        <w:bidi w:val="0"/>
        <w:adjustRightInd/>
        <w:spacing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6.6.3 </w:t>
      </w:r>
      <w:r>
        <w:rPr>
          <w:color w:val="000000" w:themeColor="text1"/>
          <w:sz w:val="24"/>
          <w:szCs w:val="24"/>
          <w14:textFill>
            <w14:solidFill>
              <w14:schemeClr w14:val="tx1"/>
            </w14:solidFill>
          </w14:textFill>
        </w:rPr>
        <w:t>型式检验中如果有一项指标不符合本文件要求，应重新自二倍量的包装袋中采取样品进行检验，重新检验结果中，即使有一项指标不符合本文件要求，则整批产品为不合格。</w:t>
      </w:r>
    </w:p>
    <w:p w14:paraId="35A55AB3">
      <w:pPr>
        <w:pStyle w:val="6"/>
        <w:keepNext w:val="0"/>
        <w:keepLines w:val="0"/>
        <w:pageBreakBefore w:val="0"/>
        <w:wordWrap/>
        <w:overflowPunct/>
        <w:topLinePunct w:val="0"/>
        <w:bidi w:val="0"/>
        <w:adjustRightInd/>
        <w:spacing w:line="360" w:lineRule="auto"/>
        <w:ind w:left="0" w:leftChars="0" w:firstLine="0" w:firstLineChars="0"/>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6.6.4 </w:t>
      </w:r>
      <w:r>
        <w:rPr>
          <w:color w:val="000000" w:themeColor="text1"/>
          <w:sz w:val="24"/>
          <w:szCs w:val="24"/>
          <w14:textFill>
            <w14:solidFill>
              <w14:schemeClr w14:val="tx1"/>
            </w14:solidFill>
          </w14:textFill>
        </w:rPr>
        <w:t>每批经过检验合格的出厂产品应附有质量证明书，其内容包括：生产企业名称、地址、产品名称、批号或生产日期、净含量、表1中规定的指标值</w:t>
      </w:r>
      <w:r>
        <w:rPr>
          <w:rFonts w:hint="eastAsia"/>
          <w:color w:val="000000" w:themeColor="text1"/>
          <w:sz w:val="24"/>
          <w:szCs w:val="24"/>
          <w14:textFill>
            <w14:solidFill>
              <w14:schemeClr w14:val="tx1"/>
            </w14:solidFill>
          </w14:textFill>
        </w:rPr>
        <w:t>（最近一次型式检验时的检测值）</w:t>
      </w:r>
      <w:r>
        <w:rPr>
          <w:rFonts w:hint="eastAsia"/>
          <w:color w:val="000000" w:themeColor="text1"/>
          <w:sz w:val="24"/>
          <w:szCs w:val="24"/>
          <w:lang w:eastAsia="zh-CN"/>
          <w14:textFill>
            <w14:solidFill>
              <w14:schemeClr w14:val="tx1"/>
            </w14:solidFill>
          </w14:textFill>
        </w:rPr>
        <w:t>、</w:t>
      </w:r>
      <w:r>
        <w:rPr>
          <w:color w:val="000000" w:themeColor="text1"/>
          <w:sz w:val="24"/>
          <w:szCs w:val="24"/>
          <w14:textFill>
            <w14:solidFill>
              <w14:schemeClr w14:val="tx1"/>
            </w14:solidFill>
          </w14:textFill>
        </w:rPr>
        <w:t>本文件号及</w:t>
      </w:r>
      <w:r>
        <w:rPr>
          <w:rFonts w:hint="eastAsia" w:ascii="宋体" w:hAnsi="宋体" w:eastAsia="宋体" w:cs="宋体"/>
          <w:color w:val="000000" w:themeColor="text1"/>
          <w:kern w:val="0"/>
          <w:sz w:val="24"/>
          <w:szCs w:val="24"/>
          <w:lang w:val="en-US" w:eastAsia="zh-CN" w:bidi="ar"/>
          <w14:textFill>
            <w14:solidFill>
              <w14:schemeClr w14:val="tx1"/>
            </w14:solidFill>
          </w14:textFill>
        </w:rPr>
        <w:t>基础肥料国家标准或行业标准编号</w:t>
      </w:r>
      <w:r>
        <w:rPr>
          <w:color w:val="000000" w:themeColor="text1"/>
          <w:sz w:val="24"/>
          <w:szCs w:val="24"/>
          <w14:textFill>
            <w14:solidFill>
              <w14:schemeClr w14:val="tx1"/>
            </w14:solidFill>
          </w14:textFill>
        </w:rPr>
        <w:t>。</w:t>
      </w:r>
    </w:p>
    <w:p w14:paraId="2ADD404E">
      <w:pPr>
        <w:pStyle w:val="6"/>
        <w:keepNext w:val="0"/>
        <w:keepLines w:val="0"/>
        <w:pageBreakBefore w:val="0"/>
        <w:wordWrap/>
        <w:overflowPunct/>
        <w:topLinePunct w:val="0"/>
        <w:bidi w:val="0"/>
        <w:adjustRightInd/>
        <w:spacing w:line="360" w:lineRule="auto"/>
        <w:ind w:left="0" w:leftChars="0" w:firstLine="0" w:firstLineChars="0"/>
        <w:rPr>
          <w:rFonts w:hint="eastAsia" w:asciiTheme="minorHAnsi" w:hAnsiTheme="minorHAnsi" w:eastAsiaTheme="minorEastAsia" w:cstheme="minorBidi"/>
          <w:b/>
          <w:bCs/>
          <w:color w:val="000000" w:themeColor="text1"/>
          <w:kern w:val="2"/>
          <w:sz w:val="24"/>
          <w:szCs w:val="24"/>
          <w:lang w:val="en-US" w:eastAsia="zh-CN" w:bidi="ar-SA"/>
          <w14:textFill>
            <w14:solidFill>
              <w14:schemeClr w14:val="tx1"/>
            </w14:solidFill>
          </w14:textFill>
        </w:rPr>
      </w:pPr>
      <w:r>
        <w:rPr>
          <w:rFonts w:hint="eastAsia" w:asciiTheme="minorHAnsi" w:hAnsiTheme="minorHAnsi" w:eastAsiaTheme="minorEastAsia" w:cstheme="minorBidi"/>
          <w:b/>
          <w:bCs/>
          <w:color w:val="000000" w:themeColor="text1"/>
          <w:kern w:val="2"/>
          <w:sz w:val="24"/>
          <w:szCs w:val="24"/>
          <w:lang w:val="en-US" w:eastAsia="zh-CN" w:bidi="ar-SA"/>
          <w14:textFill>
            <w14:solidFill>
              <w14:schemeClr w14:val="tx1"/>
            </w14:solidFill>
          </w14:textFill>
        </w:rPr>
        <w:t>7　标识</w:t>
      </w:r>
    </w:p>
    <w:p w14:paraId="7F04EB8E">
      <w:pPr>
        <w:pStyle w:val="7"/>
        <w:keepNext w:val="0"/>
        <w:keepLines w:val="0"/>
        <w:pageBreakBefore w:val="0"/>
        <w:numPr>
          <w:ilvl w:val="2"/>
          <w:numId w:val="0"/>
        </w:numPr>
        <w:wordWrap/>
        <w:overflowPunct/>
        <w:topLinePunct w:val="0"/>
        <w:bidi w:val="0"/>
        <w:adjustRightInd/>
        <w:spacing w:line="360" w:lineRule="auto"/>
        <w:ind w:leftChars="0"/>
        <w:rPr>
          <w:color w:val="000000" w:themeColor="text1"/>
          <w:sz w:val="24"/>
          <w:szCs w:val="24"/>
          <w14:textFill>
            <w14:solidFill>
              <w14:schemeClr w14:val="tx1"/>
            </w14:solidFill>
          </w14:textFill>
        </w:rPr>
      </w:pPr>
      <w:r>
        <w:rPr>
          <w:rFonts w:hint="eastAsia" w:hAnsi="宋体" w:cs="宋体"/>
          <w:b w:val="0"/>
          <w:bCs w:val="0"/>
          <w:color w:val="000000" w:themeColor="text1"/>
          <w:sz w:val="24"/>
          <w:szCs w:val="24"/>
          <w:lang w:val="en-US" w:eastAsia="zh-CN"/>
          <w14:textFill>
            <w14:solidFill>
              <w14:schemeClr w14:val="tx1"/>
            </w14:solidFill>
          </w14:textFill>
        </w:rPr>
        <w:t>7.1 产</w:t>
      </w:r>
      <w:r>
        <w:rPr>
          <w:rFonts w:hint="eastAsia" w:ascii="宋体" w:hAnsi="宋体" w:eastAsia="宋体" w:cs="宋体"/>
          <w:b w:val="0"/>
          <w:bCs w:val="0"/>
          <w:color w:val="000000" w:themeColor="text1"/>
          <w:sz w:val="24"/>
          <w:szCs w:val="24"/>
          <w14:textFill>
            <w14:solidFill>
              <w14:schemeClr w14:val="tx1"/>
            </w14:solidFill>
          </w14:textFill>
        </w:rPr>
        <w:t>品标识除应符合GB 18382及相应基础肥料标准的规定外，还应符合以下要求：</w:t>
      </w:r>
      <w:r>
        <w:rPr>
          <w:color w:val="000000" w:themeColor="text1"/>
          <w:sz w:val="24"/>
          <w:szCs w:val="24"/>
          <w14:textFill>
            <w14:solidFill>
              <w14:schemeClr w14:val="tx1"/>
            </w14:solidFill>
          </w14:textFill>
        </w:rPr>
        <w:t>应在包装袋上标明产品名称、稳定性肥料类型（</w:t>
      </w:r>
      <w:r>
        <w:rPr>
          <w:rFonts w:hint="eastAsia"/>
          <w:color w:val="000000" w:themeColor="text1"/>
          <w:sz w:val="24"/>
          <w:szCs w:val="24"/>
          <w14:textFill>
            <w14:solidFill>
              <w14:schemeClr w14:val="tx1"/>
            </w14:solidFill>
          </w14:textFill>
        </w:rPr>
        <w:t>脲酶抑制型</w:t>
      </w:r>
      <w:r>
        <w:rPr>
          <w:rFonts w:hint="eastAsia"/>
          <w:color w:val="000000" w:themeColor="text1"/>
          <w:sz w:val="24"/>
          <w:szCs w:val="24"/>
          <w:lang w:eastAsia="zh-CN"/>
          <w14:textFill>
            <w14:solidFill>
              <w14:schemeClr w14:val="tx1"/>
            </w14:solidFill>
          </w14:textFill>
        </w:rPr>
        <w:t>（</w:t>
      </w:r>
      <w:r>
        <w:rPr>
          <w:rFonts w:hint="eastAsia" w:ascii="Times New Roman" w:hAnsi="Times New Roman" w:eastAsia="宋体" w:cs="Times New Roman"/>
          <w:color w:val="000000" w:themeColor="text1"/>
          <w:sz w:val="24"/>
          <w:szCs w:val="24"/>
          <w14:textFill>
            <w14:solidFill>
              <w14:schemeClr w14:val="tx1"/>
            </w14:solidFill>
          </w14:textFill>
        </w:rPr>
        <w:t>Ⅰ型</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、硝化抑制型</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w:t>
      </w:r>
      <w:r>
        <w:rPr>
          <w:rFonts w:hint="eastAsia" w:ascii="Times New Roman" w:hAnsi="Times New Roman" w:eastAsia="宋体" w:cs="Times New Roman"/>
          <w:color w:val="000000" w:themeColor="text1"/>
          <w:sz w:val="24"/>
          <w:szCs w:val="24"/>
          <w14:textFill>
            <w14:solidFill>
              <w14:schemeClr w14:val="tx1"/>
            </w14:solidFill>
          </w14:textFill>
        </w:rPr>
        <w:t>Ⅱ型</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w:t>
      </w:r>
      <w:r>
        <w:rPr>
          <w:rFonts w:hint="eastAsia"/>
          <w:color w:val="000000" w:themeColor="text1"/>
          <w:sz w:val="24"/>
          <w:szCs w:val="24"/>
          <w14:textFill>
            <w14:solidFill>
              <w14:schemeClr w14:val="tx1"/>
            </w14:solidFill>
          </w14:textFill>
        </w:rPr>
        <w:t>或复合型</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w:t>
      </w:r>
      <w:r>
        <w:rPr>
          <w:rFonts w:hint="eastAsia" w:ascii="Times New Roman" w:hAnsi="Times New Roman" w:eastAsia="宋体" w:cs="Times New Roman"/>
          <w:color w:val="000000" w:themeColor="text1"/>
          <w:sz w:val="24"/>
          <w:szCs w:val="24"/>
          <w14:textFill>
            <w14:solidFill>
              <w14:schemeClr w14:val="tx1"/>
            </w14:solidFill>
          </w14:textFill>
        </w:rPr>
        <w:t>Ⅲ型</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w:t>
      </w:r>
      <w:r>
        <w:rPr>
          <w:color w:val="000000" w:themeColor="text1"/>
          <w:sz w:val="24"/>
          <w:szCs w:val="24"/>
          <w14:textFill>
            <w14:solidFill>
              <w14:schemeClr w14:val="tx1"/>
            </w14:solidFill>
          </w14:textFill>
        </w:rPr>
        <w:t>）、</w:t>
      </w:r>
      <w:r>
        <w:rPr>
          <w:rFonts w:hint="eastAsia"/>
          <w:color w:val="000000" w:themeColor="text1"/>
          <w:sz w:val="24"/>
          <w:szCs w:val="24"/>
          <w14:textFill>
            <w14:solidFill>
              <w14:schemeClr w14:val="tx1"/>
            </w14:solidFill>
          </w14:textFill>
        </w:rPr>
        <w:t>本文件编</w:t>
      </w:r>
      <w:r>
        <w:rPr>
          <w:color w:val="000000" w:themeColor="text1"/>
          <w:sz w:val="24"/>
          <w:szCs w:val="24"/>
          <w14:textFill>
            <w14:solidFill>
              <w14:schemeClr w14:val="tx1"/>
            </w14:solidFill>
          </w14:textFill>
        </w:rPr>
        <w:t>号和相应基础肥料标准</w:t>
      </w:r>
      <w:r>
        <w:rPr>
          <w:rFonts w:hint="eastAsia"/>
          <w:color w:val="000000" w:themeColor="text1"/>
          <w:sz w:val="24"/>
          <w:szCs w:val="24"/>
          <w14:textFill>
            <w14:solidFill>
              <w14:schemeClr w14:val="tx1"/>
            </w14:solidFill>
          </w14:textFill>
        </w:rPr>
        <w:t>编</w:t>
      </w:r>
      <w:r>
        <w:rPr>
          <w:color w:val="000000" w:themeColor="text1"/>
          <w:sz w:val="24"/>
          <w:szCs w:val="24"/>
          <w14:textFill>
            <w14:solidFill>
              <w14:schemeClr w14:val="tx1"/>
            </w14:solidFill>
          </w14:textFill>
        </w:rPr>
        <w:t>号。</w:t>
      </w:r>
    </w:p>
    <w:p w14:paraId="18ACA1BC">
      <w:pPr>
        <w:pStyle w:val="7"/>
        <w:keepNext w:val="0"/>
        <w:keepLines w:val="0"/>
        <w:pageBreakBefore w:val="0"/>
        <w:numPr>
          <w:ilvl w:val="2"/>
          <w:numId w:val="0"/>
        </w:numPr>
        <w:wordWrap/>
        <w:overflowPunct/>
        <w:topLinePunct w:val="0"/>
        <w:bidi w:val="0"/>
        <w:adjustRightInd/>
        <w:spacing w:line="360" w:lineRule="auto"/>
        <w:ind w:leftChars="0"/>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   </w:t>
      </w:r>
      <w:r>
        <w:rPr>
          <w:color w:val="000000" w:themeColor="text1"/>
          <w:sz w:val="24"/>
          <w:szCs w:val="24"/>
          <w14:textFill>
            <w14:solidFill>
              <w14:schemeClr w14:val="tx1"/>
            </w14:solidFill>
          </w14:textFill>
        </w:rPr>
        <w:t>注：产品名称按基础肥料的种类确定，如基础肥料为尿素时，产品名称为：稳定性尿素；如基础肥料为复</w:t>
      </w:r>
      <w:r>
        <w:rPr>
          <w:rFonts w:hint="eastAsia"/>
          <w:color w:val="000000" w:themeColor="text1"/>
          <w:sz w:val="24"/>
          <w:szCs w:val="24"/>
          <w:lang w:val="en-US" w:eastAsia="zh-CN"/>
          <w14:textFill>
            <w14:solidFill>
              <w14:schemeClr w14:val="tx1"/>
            </w14:solidFill>
          </w14:textFill>
        </w:rPr>
        <w:t>合</w:t>
      </w:r>
      <w:r>
        <w:rPr>
          <w:color w:val="000000" w:themeColor="text1"/>
          <w:sz w:val="24"/>
          <w:szCs w:val="24"/>
          <w14:textFill>
            <w14:solidFill>
              <w14:schemeClr w14:val="tx1"/>
            </w14:solidFill>
          </w14:textFill>
        </w:rPr>
        <w:t>肥料时， 产品名称为：稳定性复</w:t>
      </w:r>
      <w:r>
        <w:rPr>
          <w:rFonts w:hint="eastAsia"/>
          <w:color w:val="000000" w:themeColor="text1"/>
          <w:sz w:val="24"/>
          <w:szCs w:val="24"/>
          <w:lang w:val="en-US" w:eastAsia="zh-CN"/>
          <w14:textFill>
            <w14:solidFill>
              <w14:schemeClr w14:val="tx1"/>
            </w14:solidFill>
          </w14:textFill>
        </w:rPr>
        <w:t>合</w:t>
      </w:r>
      <w:r>
        <w:rPr>
          <w:color w:val="000000" w:themeColor="text1"/>
          <w:sz w:val="24"/>
          <w:szCs w:val="24"/>
          <w14:textFill>
            <w14:solidFill>
              <w14:schemeClr w14:val="tx1"/>
            </w14:solidFill>
          </w14:textFill>
        </w:rPr>
        <w:t>肥料。</w:t>
      </w:r>
    </w:p>
    <w:p w14:paraId="6350512A">
      <w:pPr>
        <w:pStyle w:val="6"/>
        <w:keepNext w:val="0"/>
        <w:keepLines w:val="0"/>
        <w:pageBreakBefore w:val="0"/>
        <w:numPr>
          <w:ilvl w:val="0"/>
          <w:numId w:val="7"/>
        </w:numPr>
        <w:wordWrap/>
        <w:overflowPunct/>
        <w:topLinePunct w:val="0"/>
        <w:bidi w:val="0"/>
        <w:adjustRightInd/>
        <w:spacing w:line="360" w:lineRule="auto"/>
        <w:ind w:left="0" w:leftChars="0" w:firstLine="0" w:firstLineChars="0"/>
        <w:rPr>
          <w:rFonts w:hint="eastAsia" w:asciiTheme="minorHAnsi" w:hAnsiTheme="minorHAnsi" w:eastAsiaTheme="minorEastAsia" w:cstheme="minorBidi"/>
          <w:b/>
          <w:bCs/>
          <w:color w:val="000000" w:themeColor="text1"/>
          <w:kern w:val="2"/>
          <w:sz w:val="24"/>
          <w:szCs w:val="24"/>
          <w:lang w:val="en-US" w:eastAsia="zh-CN" w:bidi="ar-SA"/>
          <w14:textFill>
            <w14:solidFill>
              <w14:schemeClr w14:val="tx1"/>
            </w14:solidFill>
          </w14:textFill>
        </w:rPr>
      </w:pPr>
      <w:r>
        <w:rPr>
          <w:rFonts w:hint="eastAsia" w:asciiTheme="minorHAnsi" w:hAnsiTheme="minorHAnsi" w:eastAsiaTheme="minorEastAsia" w:cstheme="minorBidi"/>
          <w:b/>
          <w:bCs/>
          <w:color w:val="000000" w:themeColor="text1"/>
          <w:kern w:val="2"/>
          <w:sz w:val="24"/>
          <w:szCs w:val="24"/>
          <w:lang w:val="en-US" w:eastAsia="zh-CN" w:bidi="ar-SA"/>
          <w14:textFill>
            <w14:solidFill>
              <w14:schemeClr w14:val="tx1"/>
            </w14:solidFill>
          </w14:textFill>
        </w:rPr>
        <w:t>包装、运输和贮存</w:t>
      </w:r>
    </w:p>
    <w:p w14:paraId="578DCF0D">
      <w:pPr>
        <w:pStyle w:val="7"/>
        <w:keepNext w:val="0"/>
        <w:keepLines w:val="0"/>
        <w:pageBreakBefore w:val="0"/>
        <w:numPr>
          <w:ilvl w:val="2"/>
          <w:numId w:val="0"/>
        </w:numPr>
        <w:wordWrap/>
        <w:overflowPunct/>
        <w:topLinePunct w:val="0"/>
        <w:bidi w:val="0"/>
        <w:adjustRightInd/>
        <w:spacing w:line="360" w:lineRule="auto"/>
        <w:ind w:leftChars="0"/>
        <w:rPr>
          <w:color w:val="000000" w:themeColor="text1"/>
          <w:sz w:val="24"/>
          <w:szCs w:val="24"/>
          <w14:textFill>
            <w14:solidFill>
              <w14:schemeClr w14:val="tx1"/>
            </w14:solidFill>
          </w14:textFill>
        </w:rPr>
      </w:pPr>
      <w:r>
        <w:rPr>
          <w:rFonts w:hint="eastAsia" w:hAnsi="宋体"/>
          <w:color w:val="000000" w:themeColor="text1"/>
          <w:sz w:val="24"/>
          <w:szCs w:val="24"/>
          <w:lang w:val="en-US" w:eastAsia="zh-CN"/>
          <w14:textFill>
            <w14:solidFill>
              <w14:schemeClr w14:val="tx1"/>
            </w14:solidFill>
          </w14:textFill>
        </w:rPr>
        <w:t xml:space="preserve">8.1 </w:t>
      </w:r>
      <w:r>
        <w:rPr>
          <w:rFonts w:hAnsi="宋体"/>
          <w:color w:val="000000" w:themeColor="text1"/>
          <w:sz w:val="24"/>
          <w:szCs w:val="24"/>
          <w14:textFill>
            <w14:solidFill>
              <w14:schemeClr w14:val="tx1"/>
            </w14:solidFill>
          </w14:textFill>
        </w:rPr>
        <w:t>产品应使用符合</w:t>
      </w:r>
      <w:r>
        <w:rPr>
          <w:color w:val="000000" w:themeColor="text1"/>
          <w:sz w:val="24"/>
          <w:szCs w:val="24"/>
          <w14:textFill>
            <w14:solidFill>
              <w14:schemeClr w14:val="tx1"/>
            </w14:solidFill>
          </w14:textFill>
        </w:rPr>
        <w:t>GB</w:t>
      </w:r>
      <w:r>
        <w:rPr>
          <w:rFonts w:hint="eastAsia"/>
          <w:color w:val="000000" w:themeColor="text1"/>
          <w:sz w:val="24"/>
          <w:szCs w:val="24"/>
          <w:lang w:val="en-US" w:eastAsia="zh-CN"/>
          <w14:textFill>
            <w14:solidFill>
              <w14:schemeClr w14:val="tx1"/>
            </w14:solidFill>
          </w14:textFill>
        </w:rPr>
        <w:t xml:space="preserve">/T </w:t>
      </w:r>
      <w:r>
        <w:rPr>
          <w:color w:val="000000" w:themeColor="text1"/>
          <w:sz w:val="24"/>
          <w:szCs w:val="24"/>
          <w14:textFill>
            <w14:solidFill>
              <w14:schemeClr w14:val="tx1"/>
            </w14:solidFill>
          </w14:textFill>
        </w:rPr>
        <w:t>8569</w:t>
      </w:r>
      <w:r>
        <w:rPr>
          <w:rFonts w:hAnsi="宋体"/>
          <w:color w:val="000000" w:themeColor="text1"/>
          <w:sz w:val="24"/>
          <w:szCs w:val="24"/>
          <w14:textFill>
            <w14:solidFill>
              <w14:schemeClr w14:val="tx1"/>
            </w14:solidFill>
          </w14:textFill>
        </w:rPr>
        <w:t>要求的材料包装，</w:t>
      </w:r>
      <w:r>
        <w:rPr>
          <w:rFonts w:hint="eastAsia" w:ascii="宋体" w:hAnsi="宋体" w:eastAsia="宋体" w:cs="宋体"/>
          <w:b w:val="0"/>
          <w:bCs w:val="0"/>
          <w:color w:val="000000" w:themeColor="text1"/>
          <w:sz w:val="24"/>
          <w:szCs w:val="24"/>
          <w14:textFill>
            <w14:solidFill>
              <w14:schemeClr w14:val="tx1"/>
            </w14:solidFill>
          </w14:textFill>
        </w:rPr>
        <w:t>包装规格应符合相应基础肥料标准的规定，也可使用供需双方商定的其他规格包装，以基础肥料标准为准</w:t>
      </w:r>
      <w:r>
        <w:rPr>
          <w:rFonts w:hAnsi="宋体"/>
          <w:color w:val="000000" w:themeColor="text1"/>
          <w:sz w:val="24"/>
          <w:szCs w:val="24"/>
          <w14:textFill>
            <w14:solidFill>
              <w14:schemeClr w14:val="tx1"/>
            </w14:solidFill>
          </w14:textFill>
        </w:rPr>
        <w:t>。</w:t>
      </w:r>
    </w:p>
    <w:p w14:paraId="764CFF55">
      <w:pPr>
        <w:pStyle w:val="7"/>
        <w:keepNext w:val="0"/>
        <w:keepLines w:val="0"/>
        <w:pageBreakBefore w:val="0"/>
        <w:numPr>
          <w:ilvl w:val="2"/>
          <w:numId w:val="0"/>
        </w:numPr>
        <w:wordWrap/>
        <w:overflowPunct/>
        <w:topLinePunct w:val="0"/>
        <w:bidi w:val="0"/>
        <w:adjustRightInd/>
        <w:spacing w:line="360" w:lineRule="auto"/>
        <w:ind w:leftChars="0"/>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8.2 </w:t>
      </w:r>
      <w:r>
        <w:rPr>
          <w:color w:val="000000" w:themeColor="text1"/>
          <w:sz w:val="24"/>
          <w:szCs w:val="24"/>
          <w14:textFill>
            <w14:solidFill>
              <w14:schemeClr w14:val="tx1"/>
            </w14:solidFill>
          </w14:textFill>
        </w:rPr>
        <w:t>在标明的每袋净含量范围内的产品中有添加物时，</w:t>
      </w:r>
      <w:r>
        <w:rPr>
          <w:rFonts w:hint="eastAsia"/>
          <w:color w:val="000000" w:themeColor="text1"/>
          <w:sz w:val="24"/>
          <w:szCs w:val="24"/>
          <w14:textFill>
            <w14:solidFill>
              <w14:schemeClr w14:val="tx1"/>
            </w14:solidFill>
          </w14:textFill>
        </w:rPr>
        <w:t>应</w:t>
      </w:r>
      <w:r>
        <w:rPr>
          <w:color w:val="000000" w:themeColor="text1"/>
          <w:sz w:val="24"/>
          <w:szCs w:val="24"/>
          <w14:textFill>
            <w14:solidFill>
              <w14:schemeClr w14:val="tx1"/>
            </w14:solidFill>
          </w14:textFill>
        </w:rPr>
        <w:t>与原物料混合均匀，不</w:t>
      </w:r>
      <w:r>
        <w:rPr>
          <w:rFonts w:hint="eastAsia"/>
          <w:color w:val="000000" w:themeColor="text1"/>
          <w:sz w:val="24"/>
          <w:szCs w:val="24"/>
          <w14:textFill>
            <w14:solidFill>
              <w14:schemeClr w14:val="tx1"/>
            </w14:solidFill>
          </w14:textFill>
        </w:rPr>
        <w:t>应</w:t>
      </w:r>
      <w:r>
        <w:rPr>
          <w:color w:val="000000" w:themeColor="text1"/>
          <w:sz w:val="24"/>
          <w:szCs w:val="24"/>
          <w14:textFill>
            <w14:solidFill>
              <w14:schemeClr w14:val="tx1"/>
            </w14:solidFill>
          </w14:textFill>
        </w:rPr>
        <w:t>以小包装形式放入包装袋中。</w:t>
      </w:r>
    </w:p>
    <w:p w14:paraId="156ECA59">
      <w:pPr>
        <w:pStyle w:val="6"/>
        <w:keepNext w:val="0"/>
        <w:keepLines w:val="0"/>
        <w:pageBreakBefore w:val="0"/>
        <w:numPr>
          <w:ilvl w:val="0"/>
          <w:numId w:val="0"/>
        </w:numPr>
        <w:wordWrap/>
        <w:overflowPunct/>
        <w:topLinePunct w:val="0"/>
        <w:bidi w:val="0"/>
        <w:adjustRightInd/>
        <w:spacing w:line="360" w:lineRule="auto"/>
        <w:ind w:leftChars="0"/>
        <w:rPr>
          <w:rFonts w:hint="eastAsia" w:asciiTheme="minorHAnsi" w:hAnsiTheme="minorHAnsi" w:eastAsiaTheme="minorEastAsia" w:cstheme="minorBidi"/>
          <w:kern w:val="2"/>
          <w:sz w:val="24"/>
          <w:szCs w:val="24"/>
          <w:lang w:val="en-US" w:eastAsia="zh-CN" w:bidi="ar-SA"/>
        </w:rPr>
      </w:pPr>
      <w:r>
        <w:rPr>
          <w:rFonts w:hint="eastAsia"/>
          <w:color w:val="000000" w:themeColor="text1"/>
          <w:sz w:val="24"/>
          <w:szCs w:val="24"/>
          <w:lang w:val="en-US" w:eastAsia="zh-CN"/>
          <w14:textFill>
            <w14:solidFill>
              <w14:schemeClr w14:val="tx1"/>
            </w14:solidFill>
          </w14:textFill>
        </w:rPr>
        <w:t xml:space="preserve">8.3 </w:t>
      </w:r>
      <w:r>
        <w:rPr>
          <w:color w:val="000000" w:themeColor="text1"/>
          <w:sz w:val="24"/>
          <w:szCs w:val="24"/>
          <w14:textFill>
            <w14:solidFill>
              <w14:schemeClr w14:val="tx1"/>
            </w14:solidFill>
          </w14:textFill>
        </w:rPr>
        <w:t>产品应贮存于阴凉干燥处，在运输过程中应防潮、防晒、防破损。</w:t>
      </w:r>
    </w:p>
    <w:p w14:paraId="50FC4E27">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0" w:firstLineChars="0"/>
        <w:textAlignment w:val="auto"/>
        <w:rPr>
          <w:rFonts w:hint="eastAsia"/>
          <w:b/>
          <w:bCs/>
          <w:sz w:val="24"/>
          <w:szCs w:val="24"/>
        </w:rPr>
      </w:pPr>
      <w:r>
        <w:rPr>
          <w:rFonts w:hint="eastAsia" w:asciiTheme="minorHAnsi" w:hAnsiTheme="minorHAnsi" w:eastAsiaTheme="minorEastAsia" w:cstheme="minorBidi"/>
          <w:b/>
          <w:bCs/>
          <w:kern w:val="2"/>
          <w:sz w:val="24"/>
          <w:szCs w:val="24"/>
          <w:lang w:val="en-US" w:eastAsia="zh-CN" w:bidi="ar-SA"/>
        </w:rPr>
        <w:t>（三）</w:t>
      </w:r>
      <w:r>
        <w:rPr>
          <w:rFonts w:hint="eastAsia"/>
          <w:b/>
          <w:bCs/>
          <w:sz w:val="24"/>
          <w:szCs w:val="24"/>
        </w:rPr>
        <w:t>修订前后技术内容的对比</w:t>
      </w:r>
    </w:p>
    <w:p w14:paraId="755F769B">
      <w:pPr>
        <w:keepLines w:val="0"/>
        <w:pageBreakBefore w:val="0"/>
        <w:wordWrap/>
        <w:overflowPunct/>
        <w:topLinePunct w:val="0"/>
        <w:bidi w:val="0"/>
        <w:spacing w:line="360" w:lineRule="auto"/>
        <w:ind w:firstLine="480" w:firstLineChars="200"/>
        <w:rPr>
          <w:rFonts w:hint="eastAsia" w:ascii="Times New Roman" w:hAnsi="Times New Roman" w:eastAsia="宋体" w:cs="Times New Roman"/>
          <w:bCs/>
          <w:sz w:val="24"/>
          <w:szCs w:val="24"/>
          <w:lang w:val="en-US" w:eastAsia="zh-CN"/>
        </w:rPr>
      </w:pPr>
      <w:r>
        <w:rPr>
          <w:rFonts w:hint="eastAsia" w:ascii="Times New Roman" w:hAnsi="Times New Roman" w:eastAsia="宋体" w:cs="Times New Roman"/>
          <w:bCs/>
          <w:sz w:val="24"/>
          <w:szCs w:val="24"/>
          <w:lang w:val="en-US" w:eastAsia="zh-CN"/>
        </w:rPr>
        <w:t>本文件代替GB/T</w:t>
      </w:r>
      <w:r>
        <w:rPr>
          <w:rFonts w:hint="default" w:ascii="Times New Roman" w:hAnsi="Times New Roman" w:eastAsia="宋体" w:cs="Times New Roman"/>
          <w:bCs/>
          <w:sz w:val="24"/>
          <w:szCs w:val="24"/>
          <w:lang w:val="en-US" w:eastAsia="zh-CN"/>
        </w:rPr>
        <w:t xml:space="preserve"> </w:t>
      </w:r>
      <w:r>
        <w:rPr>
          <w:rFonts w:hint="eastAsia" w:ascii="Times New Roman" w:hAnsi="Times New Roman" w:eastAsia="宋体" w:cs="Times New Roman"/>
          <w:bCs/>
          <w:sz w:val="24"/>
          <w:szCs w:val="24"/>
          <w:lang w:val="en-US" w:eastAsia="zh-CN"/>
        </w:rPr>
        <w:t>35113—2017《稳定性肥料》，与GB/T35113—2017相比，除编辑性改动外，主要技术变化如下：1）将原来的稳定性肥料1型、稳定性肥料2型和稳定性肥料3型划分为“脲酶抑制型稳定性肥料”、“硝化抑制型稳定性肥料”和“复合型稳定性肥料”，并进行了定义和指标要求；2）将原标准中硝化抑制效果的检测指标“硝化抑制率”修改为“硝化潜势差异率”，并给出其检测方法；3）增加了肥料总氮的测定要求，更新了肥料中尿素含量的测定方法；4）增加了对脲酶抑制剂NBPT含量、硝化抑制剂DMPP含量、硝化抑制剂DCD含量的检测；5）修改要素标识部分：要列明</w:t>
      </w:r>
      <w:r>
        <w:rPr>
          <w:rFonts w:hint="default" w:ascii="Times New Roman" w:hAnsi="Times New Roman" w:eastAsia="宋体" w:cs="Times New Roman"/>
          <w:bCs/>
          <w:sz w:val="24"/>
          <w:szCs w:val="24"/>
          <w:lang w:val="en-US" w:eastAsia="zh-CN"/>
        </w:rPr>
        <w:t>稳定性肥料</w:t>
      </w:r>
      <w:r>
        <w:rPr>
          <w:rFonts w:hint="eastAsia" w:ascii="Times New Roman" w:hAnsi="Times New Roman" w:eastAsia="宋体" w:cs="Times New Roman"/>
          <w:bCs/>
          <w:sz w:val="24"/>
          <w:szCs w:val="24"/>
          <w:lang w:val="en-US" w:eastAsia="zh-CN"/>
        </w:rPr>
        <w:t>的</w:t>
      </w:r>
      <w:r>
        <w:rPr>
          <w:rFonts w:hint="default" w:ascii="Times New Roman" w:hAnsi="Times New Roman" w:eastAsia="宋体" w:cs="Times New Roman"/>
          <w:bCs/>
          <w:sz w:val="24"/>
          <w:szCs w:val="24"/>
          <w:lang w:val="en-US" w:eastAsia="zh-CN"/>
        </w:rPr>
        <w:t>类型</w:t>
      </w:r>
      <w:r>
        <w:rPr>
          <w:rFonts w:hint="eastAsia" w:ascii="Times New Roman" w:hAnsi="Times New Roman" w:eastAsia="宋体" w:cs="Times New Roman"/>
          <w:bCs/>
          <w:sz w:val="24"/>
          <w:szCs w:val="24"/>
          <w:lang w:val="en-US" w:eastAsia="zh-CN"/>
        </w:rPr>
        <w:t>，如属于硝化抑制型或复合型。</w:t>
      </w:r>
    </w:p>
    <w:p w14:paraId="0EE40AD7">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rPr>
          <w:rFonts w:hint="eastAsia" w:ascii="黑体" w:hAnsi="黑体" w:eastAsia="黑体"/>
          <w:sz w:val="28"/>
          <w:szCs w:val="21"/>
          <w:lang w:val="en-US" w:eastAsia="zh-CN"/>
        </w:rPr>
      </w:pPr>
      <w:r>
        <w:rPr>
          <w:rFonts w:hint="eastAsia" w:ascii="黑体" w:hAnsi="黑体" w:eastAsia="黑体"/>
          <w:sz w:val="28"/>
          <w:szCs w:val="21"/>
          <w:lang w:val="en-US" w:eastAsia="zh-CN"/>
        </w:rPr>
        <w:t>三</w:t>
      </w:r>
      <w:r>
        <w:rPr>
          <w:rFonts w:hint="eastAsia" w:ascii="黑体" w:hAnsi="黑体" w:eastAsia="黑体"/>
          <w:sz w:val="28"/>
          <w:szCs w:val="21"/>
        </w:rPr>
        <w:t>、</w:t>
      </w:r>
      <w:r>
        <w:rPr>
          <w:rFonts w:hint="eastAsia" w:ascii="黑体" w:hAnsi="黑体" w:eastAsia="黑体"/>
          <w:sz w:val="28"/>
          <w:szCs w:val="21"/>
          <w:lang w:val="en-US" w:eastAsia="zh-CN"/>
        </w:rPr>
        <w:t>试验验证的分析、综述报告，技术经济论证，预期的经济效益、社会效益和生态效益</w:t>
      </w:r>
    </w:p>
    <w:p w14:paraId="6AFAAF82">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0" w:firstLineChars="0"/>
        <w:textAlignment w:val="auto"/>
        <w:rPr>
          <w:rFonts w:hint="eastAsia" w:ascii="宋体" w:hAnsi="宋体" w:eastAsia="宋体"/>
          <w:b/>
          <w:sz w:val="24"/>
          <w:szCs w:val="24"/>
          <w:lang w:val="en-US" w:eastAsia="zh-CN"/>
        </w:rPr>
      </w:pPr>
      <w:r>
        <w:rPr>
          <w:rFonts w:hint="eastAsia" w:ascii="宋体" w:hAnsi="宋体" w:eastAsia="宋体"/>
          <w:b/>
          <w:sz w:val="24"/>
          <w:szCs w:val="24"/>
          <w:lang w:val="en-US" w:eastAsia="zh-CN"/>
        </w:rPr>
        <w:t>（一）</w:t>
      </w:r>
      <w:r>
        <w:rPr>
          <w:rFonts w:hint="eastAsia" w:ascii="宋体" w:hAnsi="宋体" w:eastAsia="宋体"/>
          <w:b/>
          <w:sz w:val="24"/>
          <w:szCs w:val="24"/>
        </w:rPr>
        <w:t>主要试验验证及</w:t>
      </w:r>
      <w:r>
        <w:rPr>
          <w:rFonts w:hint="eastAsia" w:ascii="宋体" w:hAnsi="宋体" w:eastAsia="宋体"/>
          <w:b/>
          <w:sz w:val="24"/>
          <w:szCs w:val="24"/>
          <w:lang w:val="en-US" w:eastAsia="zh-CN"/>
        </w:rPr>
        <w:t>分析</w:t>
      </w:r>
      <w:r>
        <w:rPr>
          <w:rFonts w:hint="eastAsia" w:ascii="宋体" w:hAnsi="宋体" w:eastAsia="宋体"/>
          <w:b/>
          <w:sz w:val="24"/>
          <w:szCs w:val="24"/>
        </w:rPr>
        <w:t>结果</w:t>
      </w:r>
      <w:r>
        <w:rPr>
          <w:rFonts w:hint="eastAsia" w:ascii="宋体" w:hAnsi="宋体" w:eastAsia="宋体"/>
          <w:b/>
          <w:sz w:val="24"/>
          <w:szCs w:val="24"/>
          <w:lang w:val="en-US" w:eastAsia="zh-CN"/>
        </w:rPr>
        <w:t xml:space="preserve"> </w:t>
      </w:r>
    </w:p>
    <w:p w14:paraId="37B54BC8">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0" w:firstLineChars="0"/>
        <w:textAlignment w:val="auto"/>
        <w:rPr>
          <w:rFonts w:hint="eastAsia" w:ascii="Times New Roman" w:hAnsi="Times New Roman" w:eastAsia="宋体" w:cs="Times New Roman"/>
          <w:b/>
          <w:bCs w:val="0"/>
          <w:sz w:val="24"/>
          <w:szCs w:val="24"/>
          <w:lang w:val="en-US" w:eastAsia="zh-CN"/>
        </w:rPr>
      </w:pPr>
      <w:r>
        <w:rPr>
          <w:rFonts w:hint="eastAsia" w:ascii="Times New Roman" w:hAnsi="Times New Roman" w:eastAsia="宋体" w:cs="Times New Roman"/>
          <w:b/>
          <w:bCs w:val="0"/>
          <w:sz w:val="24"/>
          <w:szCs w:val="24"/>
          <w:lang w:val="en-US" w:eastAsia="zh-CN"/>
        </w:rPr>
        <w:t>1、硝化潜势测定方法的初步验证</w:t>
      </w:r>
    </w:p>
    <w:p w14:paraId="6C9677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bCs/>
          <w:sz w:val="24"/>
          <w:szCs w:val="24"/>
          <w:lang w:val="en-US" w:eastAsia="zh-CN"/>
        </w:rPr>
        <w:t>2025年3月</w:t>
      </w:r>
      <w:r>
        <w:rPr>
          <w:rFonts w:hint="eastAsia" w:ascii="Times New Roman" w:hAnsi="Times New Roman" w:eastAsia="宋体" w:cs="Times New Roman"/>
          <w:sz w:val="24"/>
          <w:szCs w:val="24"/>
          <w:lang w:val="en-US" w:eastAsia="zh-CN"/>
        </w:rPr>
        <w:t>，开展了</w:t>
      </w:r>
      <w:r>
        <w:rPr>
          <w:rFonts w:hint="eastAsia" w:ascii="Times New Roman" w:hAnsi="Times New Roman" w:eastAsia="宋体" w:cs="Times New Roman"/>
          <w:color w:val="auto"/>
          <w:sz w:val="24"/>
          <w:szCs w:val="24"/>
          <w:lang w:val="en-US" w:eastAsia="zh-CN"/>
        </w:rPr>
        <w:t>硝化潜势测定方法（氨氧化快速检测法）的</w:t>
      </w:r>
      <w:r>
        <w:rPr>
          <w:rFonts w:hint="eastAsia" w:ascii="Times New Roman" w:hAnsi="Times New Roman" w:eastAsia="宋体" w:cs="Times New Roman"/>
          <w:sz w:val="24"/>
          <w:szCs w:val="24"/>
          <w:lang w:val="en-US" w:eastAsia="zh-CN"/>
        </w:rPr>
        <w:t>初步检验。</w:t>
      </w:r>
    </w:p>
    <w:p w14:paraId="715D00D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1.1 材料与方法</w:t>
      </w:r>
    </w:p>
    <w:p w14:paraId="0060AFF7">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kern w:val="2"/>
          <w:sz w:val="24"/>
          <w:szCs w:val="24"/>
          <w:lang w:val="en-US" w:eastAsia="zh-CN" w:bidi="ar-SA"/>
        </w:rPr>
        <w:t>1.1.1</w:t>
      </w:r>
      <w:r>
        <w:rPr>
          <w:rFonts w:hint="eastAsia" w:ascii="Times New Roman" w:hAnsi="Times New Roman" w:eastAsia="宋体" w:cs="Times New Roman"/>
          <w:sz w:val="24"/>
          <w:szCs w:val="24"/>
          <w:lang w:val="en-US" w:eastAsia="zh-CN"/>
        </w:rPr>
        <w:t>供试肥料</w:t>
      </w:r>
    </w:p>
    <w:p w14:paraId="1F9505BC">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尿素，2）尿素+DCD，3）尿素+NAM，4）硫铵，5）硫铵+DCD，6）硫铵+NAM，7）自配复合肥1（26-10-12），8）自配复合肥1（26-10-12）+NAM，9）自配复合肥2（28-10-10）+NAM，10）自配复合肥2（28-10-10）+NAM，11）自配复合肥3（22-10-10），12）自配复合肥3（22-10-10）+NAM，13）碳铵，14）碳铵+DCD，15）碳铵+NAM。供试自配复合肥均采用实验室分析纯尿素、硫铵、一铵、氯化钾配制，其余试剂为试验室分析纯试剂。DCD添加量为肥料质量的0.4%，NAM为沈阳中科新型肥料有限公司生产的脲酶抑制剂和硝化抑制剂复合添加剂，添加量为肥料质量的0.7%。</w:t>
      </w:r>
    </w:p>
    <w:p w14:paraId="4127569A">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1.1.2 供试土样</w:t>
      </w:r>
      <w:r>
        <w:rPr>
          <w:rFonts w:ascii="Times New Roman" w:hAnsi="Times New Roman" w:eastAsia="宋体" w:cs="Times New Roman"/>
          <w:b/>
          <w:sz w:val="24"/>
          <w:szCs w:val="24"/>
        </w:rPr>
        <w:t>：</w:t>
      </w:r>
      <w:r>
        <w:rPr>
          <w:rFonts w:ascii="Times New Roman" w:hAnsi="Times New Roman" w:eastAsia="宋体" w:cs="Times New Roman"/>
          <w:sz w:val="24"/>
          <w:szCs w:val="24"/>
        </w:rPr>
        <w:t>红壤、</w:t>
      </w:r>
      <w:r>
        <w:rPr>
          <w:rFonts w:hint="eastAsia" w:ascii="Times New Roman" w:hAnsi="Times New Roman" w:eastAsia="宋体" w:cs="Times New Roman"/>
          <w:sz w:val="24"/>
          <w:szCs w:val="24"/>
          <w:lang w:val="en-US" w:eastAsia="zh-CN"/>
        </w:rPr>
        <w:t>棕壤、黑土</w:t>
      </w:r>
    </w:p>
    <w:p w14:paraId="06342BA7">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1.</w:t>
      </w:r>
      <w:r>
        <w:rPr>
          <w:rFonts w:hint="eastAsia" w:ascii="Times New Roman" w:hAnsi="Times New Roman" w:eastAsia="宋体" w:cs="Times New Roman"/>
          <w:kern w:val="2"/>
          <w:sz w:val="24"/>
          <w:szCs w:val="24"/>
          <w:lang w:val="en-US" w:eastAsia="zh-CN" w:bidi="ar-SA"/>
        </w:rPr>
        <w:t>1.3 测定方法和步骤</w:t>
      </w:r>
    </w:p>
    <w:p w14:paraId="6430B429">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1.1.3.1 试剂和材料</w:t>
      </w:r>
    </w:p>
    <w:p w14:paraId="35E38FF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ascii="Times New Roman" w:hAnsi="Times New Roman" w:eastAsia="宋体" w:cs="Times New Roman"/>
          <w:sz w:val="24"/>
          <w:szCs w:val="24"/>
        </w:rPr>
      </w:pPr>
      <w:r>
        <w:rPr>
          <w:rFonts w:hint="eastAsia" w:eastAsia="宋体"/>
          <w:sz w:val="24"/>
          <w:szCs w:val="24"/>
          <w:lang w:eastAsia="zh-CN"/>
        </w:rPr>
        <w:t>（</w:t>
      </w:r>
      <w:r>
        <w:rPr>
          <w:rFonts w:hint="eastAsia" w:eastAsia="宋体"/>
          <w:sz w:val="24"/>
          <w:szCs w:val="24"/>
          <w:lang w:val="en-US" w:eastAsia="zh-CN"/>
        </w:rPr>
        <w:t>1</w:t>
      </w:r>
      <w:r>
        <w:rPr>
          <w:rFonts w:hint="eastAsia" w:eastAsia="宋体"/>
          <w:sz w:val="24"/>
          <w:szCs w:val="24"/>
          <w:lang w:eastAsia="zh-CN"/>
        </w:rPr>
        <w:t>）</w:t>
      </w:r>
      <w:r>
        <w:rPr>
          <w:rFonts w:hint="eastAsia" w:ascii="Times New Roman" w:hAnsi="Times New Roman" w:eastAsia="宋体" w:cs="Times New Roman"/>
          <w:sz w:val="24"/>
          <w:szCs w:val="24"/>
        </w:rPr>
        <w:t>肥料工作</w:t>
      </w:r>
      <w:r>
        <w:rPr>
          <w:rFonts w:ascii="Times New Roman" w:hAnsi="Times New Roman" w:eastAsia="宋体" w:cs="Times New Roman"/>
          <w:sz w:val="24"/>
          <w:szCs w:val="24"/>
        </w:rPr>
        <w:t>溶液：按表</w:t>
      </w:r>
      <w:r>
        <w:rPr>
          <w:rFonts w:hint="eastAsia" w:ascii="Times New Roman" w:hAnsi="Times New Roman" w:eastAsia="宋体" w:cs="Times New Roman"/>
          <w:sz w:val="24"/>
          <w:szCs w:val="24"/>
          <w:lang w:val="en-US" w:eastAsia="zh-CN"/>
        </w:rPr>
        <w:t>1</w:t>
      </w:r>
      <w:r>
        <w:rPr>
          <w:rFonts w:ascii="Times New Roman" w:hAnsi="Times New Roman" w:eastAsia="宋体" w:cs="Times New Roman"/>
          <w:sz w:val="24"/>
          <w:szCs w:val="24"/>
        </w:rPr>
        <w:t>称取各试剂，溶解后定容于1000</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ml容量瓶中，混匀后，吸取1</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ml用蒸馏水稀释至1000</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ml中，</w:t>
      </w:r>
      <w:r>
        <w:rPr>
          <w:rFonts w:hint="eastAsia" w:ascii="Times New Roman" w:hAnsi="Times New Roman" w:eastAsia="宋体" w:cs="Times New Roman"/>
          <w:sz w:val="24"/>
          <w:szCs w:val="24"/>
        </w:rPr>
        <w:t>每</w:t>
      </w:r>
      <w:r>
        <w:rPr>
          <w:rFonts w:ascii="Times New Roman" w:hAnsi="Times New Roman" w:eastAsia="宋体" w:cs="Times New Roman"/>
          <w:sz w:val="24"/>
          <w:szCs w:val="24"/>
        </w:rPr>
        <w:t>20</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ml</w:t>
      </w:r>
      <w:r>
        <w:rPr>
          <w:rFonts w:hint="eastAsia" w:ascii="Times New Roman" w:hAnsi="Times New Roman" w:eastAsia="宋体" w:cs="Times New Roman"/>
          <w:sz w:val="24"/>
          <w:szCs w:val="24"/>
        </w:rPr>
        <w:t>该</w:t>
      </w:r>
      <w:r>
        <w:rPr>
          <w:rFonts w:ascii="Times New Roman" w:hAnsi="Times New Roman" w:eastAsia="宋体" w:cs="Times New Roman"/>
          <w:sz w:val="24"/>
          <w:szCs w:val="24"/>
        </w:rPr>
        <w:t>溶液</w:t>
      </w:r>
      <w:r>
        <w:rPr>
          <w:rFonts w:hint="eastAsia" w:ascii="Times New Roman" w:hAnsi="Times New Roman" w:eastAsia="宋体" w:cs="Times New Roman"/>
          <w:sz w:val="24"/>
          <w:szCs w:val="24"/>
        </w:rPr>
        <w:t>应</w:t>
      </w:r>
      <w:r>
        <w:rPr>
          <w:rFonts w:ascii="Times New Roman" w:hAnsi="Times New Roman" w:eastAsia="宋体" w:cs="Times New Roman"/>
          <w:sz w:val="24"/>
          <w:szCs w:val="24"/>
        </w:rPr>
        <w:t>含有0.28</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 xml:space="preserve">mg </w:t>
      </w:r>
      <w:r>
        <w:rPr>
          <w:rFonts w:hint="eastAsia" w:ascii="Times New Roman" w:hAnsi="Times New Roman" w:eastAsia="宋体" w:cs="Times New Roman"/>
          <w:sz w:val="24"/>
          <w:szCs w:val="24"/>
        </w:rPr>
        <w:t>N，即1</w:t>
      </w:r>
      <w:r>
        <w:rPr>
          <w:rFonts w:ascii="Times New Roman" w:hAnsi="Times New Roman" w:eastAsia="宋体" w:cs="Times New Roman"/>
          <w:sz w:val="24"/>
          <w:szCs w:val="24"/>
        </w:rPr>
        <w:t xml:space="preserve">4 </w:t>
      </w:r>
      <w:r>
        <w:rPr>
          <w:rFonts w:hint="eastAsia" w:ascii="Times New Roman" w:hAnsi="Times New Roman" w:eastAsia="宋体" w:cs="Times New Roman"/>
          <w:sz w:val="24"/>
          <w:szCs w:val="24"/>
        </w:rPr>
        <w:t>m</w:t>
      </w:r>
      <w:r>
        <w:rPr>
          <w:rFonts w:ascii="Times New Roman" w:hAnsi="Times New Roman" w:eastAsia="宋体" w:cs="Times New Roman"/>
          <w:sz w:val="24"/>
          <w:szCs w:val="24"/>
        </w:rPr>
        <w:t>g</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N/L。</w:t>
      </w:r>
    </w:p>
    <w:p w14:paraId="23FC0102">
      <w:pPr>
        <w:keepLines w:val="0"/>
        <w:pageBreakBefore w:val="0"/>
        <w:wordWrap/>
        <w:overflowPunct/>
        <w:topLinePunct w:val="0"/>
        <w:bidi w:val="0"/>
        <w:spacing w:line="360" w:lineRule="auto"/>
        <w:ind w:firstLine="422" w:firstLineChars="200"/>
        <w:jc w:val="center"/>
        <w:rPr>
          <w:rFonts w:hint="default" w:ascii="Times New Roman" w:hAnsi="Times New Roman" w:eastAsia="宋体" w:cs="Times New Roman"/>
          <w:b/>
          <w:szCs w:val="21"/>
          <w:lang w:val="en-US" w:eastAsia="zh-CN"/>
        </w:rPr>
      </w:pPr>
      <w:r>
        <w:rPr>
          <w:rFonts w:hint="eastAsia" w:ascii="Times New Roman" w:hAnsi="Times New Roman" w:eastAsia="宋体" w:cs="Times New Roman"/>
          <w:b/>
          <w:szCs w:val="21"/>
          <w:lang w:val="en-US" w:eastAsia="zh-CN"/>
        </w:rPr>
        <w:t>表1 肥料配制表</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689"/>
        <w:gridCol w:w="578"/>
        <w:gridCol w:w="578"/>
        <w:gridCol w:w="759"/>
        <w:gridCol w:w="939"/>
        <w:gridCol w:w="939"/>
        <w:gridCol w:w="759"/>
        <w:gridCol w:w="759"/>
        <w:gridCol w:w="689"/>
        <w:gridCol w:w="689"/>
      </w:tblGrid>
      <w:tr w14:paraId="374AD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0" w:type="auto"/>
            <w:vAlign w:val="top"/>
          </w:tcPr>
          <w:p w14:paraId="04EFB9BF">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0FA9B4E9">
            <w:pPr>
              <w:keepLines w:val="0"/>
              <w:pageBreakBefore w:val="0"/>
              <w:wordWrap/>
              <w:overflowPunct/>
              <w:topLinePunct w:val="0"/>
              <w:bidi w:val="0"/>
              <w:spacing w:line="360" w:lineRule="auto"/>
              <w:rPr>
                <w:rFonts w:ascii="Times New Roman" w:hAnsi="Times New Roman" w:eastAsia="宋体" w:cs="Times New Roman"/>
                <w:b/>
                <w:bCs/>
                <w:sz w:val="18"/>
                <w:szCs w:val="18"/>
              </w:rPr>
            </w:pPr>
            <w:r>
              <w:rPr>
                <w:rFonts w:ascii="Times New Roman" w:hAnsi="Times New Roman" w:eastAsia="宋体" w:cs="Times New Roman"/>
                <w:b/>
                <w:bCs/>
                <w:sz w:val="18"/>
                <w:szCs w:val="18"/>
              </w:rPr>
              <w:t>尿素</w:t>
            </w:r>
          </w:p>
          <w:p w14:paraId="176AE04A">
            <w:pPr>
              <w:keepLines w:val="0"/>
              <w:pageBreakBefore w:val="0"/>
              <w:wordWrap/>
              <w:overflowPunct/>
              <w:topLinePunct w:val="0"/>
              <w:bidi w:val="0"/>
              <w:spacing w:line="360" w:lineRule="auto"/>
              <w:rPr>
                <w:rFonts w:ascii="Times New Roman" w:hAnsi="Times New Roman" w:eastAsia="宋体" w:cs="Times New Roman"/>
                <w:b/>
                <w:bCs/>
                <w:sz w:val="18"/>
                <w:szCs w:val="18"/>
              </w:rPr>
            </w:pPr>
            <w:r>
              <w:rPr>
                <w:rFonts w:ascii="Times New Roman" w:hAnsi="Times New Roman" w:eastAsia="宋体" w:cs="Times New Roman"/>
                <w:b/>
                <w:bCs/>
                <w:sz w:val="18"/>
                <w:szCs w:val="18"/>
              </w:rPr>
              <w:t xml:space="preserve"> g</w:t>
            </w:r>
          </w:p>
        </w:tc>
        <w:tc>
          <w:tcPr>
            <w:tcW w:w="0" w:type="auto"/>
            <w:vAlign w:val="top"/>
          </w:tcPr>
          <w:p w14:paraId="385A3416">
            <w:pPr>
              <w:keepLines w:val="0"/>
              <w:pageBreakBefore w:val="0"/>
              <w:wordWrap/>
              <w:overflowPunct/>
              <w:topLinePunct w:val="0"/>
              <w:bidi w:val="0"/>
              <w:spacing w:line="360" w:lineRule="auto"/>
              <w:rPr>
                <w:rFonts w:hint="eastAsia" w:ascii="Times New Roman" w:hAnsi="Times New Roman" w:eastAsia="宋体" w:cs="Times New Roman"/>
                <w:b/>
                <w:bCs/>
                <w:sz w:val="18"/>
                <w:szCs w:val="18"/>
                <w:lang w:val="en-US" w:eastAsia="zh-CN"/>
              </w:rPr>
            </w:pPr>
            <w:r>
              <w:rPr>
                <w:rFonts w:hint="eastAsia" w:ascii="Times New Roman" w:hAnsi="Times New Roman" w:eastAsia="宋体" w:cs="Times New Roman"/>
                <w:b/>
                <w:bCs/>
                <w:sz w:val="18"/>
                <w:szCs w:val="18"/>
                <w:lang w:val="en-US" w:eastAsia="zh-CN"/>
              </w:rPr>
              <w:t>硫铵</w:t>
            </w:r>
          </w:p>
          <w:p w14:paraId="7795112D">
            <w:pPr>
              <w:keepLines w:val="0"/>
              <w:pageBreakBefore w:val="0"/>
              <w:wordWrap/>
              <w:overflowPunct/>
              <w:topLinePunct w:val="0"/>
              <w:bidi w:val="0"/>
              <w:spacing w:line="360" w:lineRule="auto"/>
              <w:rPr>
                <w:rFonts w:hint="default" w:ascii="Times New Roman" w:hAnsi="Times New Roman" w:eastAsia="宋体" w:cs="Times New Roman"/>
                <w:b/>
                <w:bCs/>
                <w:sz w:val="18"/>
                <w:szCs w:val="18"/>
                <w:lang w:val="en-US" w:eastAsia="zh-CN"/>
              </w:rPr>
            </w:pPr>
            <w:r>
              <w:rPr>
                <w:rFonts w:hint="eastAsia" w:ascii="Times New Roman" w:hAnsi="Times New Roman" w:eastAsia="宋体" w:cs="Times New Roman"/>
                <w:b/>
                <w:bCs/>
                <w:sz w:val="18"/>
                <w:szCs w:val="18"/>
                <w:lang w:val="en-US" w:eastAsia="zh-CN"/>
              </w:rPr>
              <w:t>g</w:t>
            </w:r>
          </w:p>
        </w:tc>
        <w:tc>
          <w:tcPr>
            <w:tcW w:w="0" w:type="auto"/>
            <w:vAlign w:val="top"/>
          </w:tcPr>
          <w:p w14:paraId="1798CE19">
            <w:pPr>
              <w:keepLines w:val="0"/>
              <w:pageBreakBefore w:val="0"/>
              <w:wordWrap/>
              <w:overflowPunct/>
              <w:topLinePunct w:val="0"/>
              <w:bidi w:val="0"/>
              <w:spacing w:line="360" w:lineRule="auto"/>
              <w:rPr>
                <w:rFonts w:hint="eastAsia" w:ascii="Times New Roman" w:hAnsi="Times New Roman" w:eastAsia="宋体" w:cs="Times New Roman"/>
                <w:b/>
                <w:bCs/>
                <w:sz w:val="18"/>
                <w:szCs w:val="18"/>
                <w:lang w:val="en-US" w:eastAsia="zh-CN"/>
              </w:rPr>
            </w:pPr>
            <w:r>
              <w:rPr>
                <w:rFonts w:hint="eastAsia" w:ascii="Times New Roman" w:hAnsi="Times New Roman" w:eastAsia="宋体" w:cs="Times New Roman"/>
                <w:b/>
                <w:bCs/>
                <w:sz w:val="18"/>
                <w:szCs w:val="18"/>
                <w:lang w:val="en-US" w:eastAsia="zh-CN"/>
              </w:rPr>
              <w:t>碳铵</w:t>
            </w:r>
          </w:p>
          <w:p w14:paraId="1E86F1DB">
            <w:pPr>
              <w:keepLines w:val="0"/>
              <w:pageBreakBefore w:val="0"/>
              <w:wordWrap/>
              <w:overflowPunct/>
              <w:topLinePunct w:val="0"/>
              <w:bidi w:val="0"/>
              <w:spacing w:line="360" w:lineRule="auto"/>
              <w:rPr>
                <w:rFonts w:hint="default" w:ascii="Times New Roman" w:hAnsi="Times New Roman" w:eastAsia="宋体" w:cs="Times New Roman"/>
                <w:b/>
                <w:bCs/>
                <w:sz w:val="18"/>
                <w:szCs w:val="18"/>
                <w:lang w:val="en-US" w:eastAsia="zh-CN"/>
              </w:rPr>
            </w:pPr>
            <w:r>
              <w:rPr>
                <w:rFonts w:hint="eastAsia" w:ascii="Times New Roman" w:hAnsi="Times New Roman" w:eastAsia="宋体" w:cs="Times New Roman"/>
                <w:b/>
                <w:bCs/>
                <w:sz w:val="18"/>
                <w:szCs w:val="18"/>
                <w:lang w:val="en-US" w:eastAsia="zh-CN"/>
              </w:rPr>
              <w:t>g</w:t>
            </w:r>
          </w:p>
        </w:tc>
        <w:tc>
          <w:tcPr>
            <w:tcW w:w="0" w:type="auto"/>
            <w:vAlign w:val="top"/>
          </w:tcPr>
          <w:p w14:paraId="1796A8BA">
            <w:pPr>
              <w:keepLines w:val="0"/>
              <w:pageBreakBefore w:val="0"/>
              <w:wordWrap/>
              <w:overflowPunct/>
              <w:topLinePunct w:val="0"/>
              <w:bidi w:val="0"/>
              <w:spacing w:line="360" w:lineRule="auto"/>
              <w:rPr>
                <w:rFonts w:ascii="Times New Roman" w:hAnsi="Times New Roman" w:eastAsia="宋体" w:cs="Times New Roman"/>
                <w:b/>
                <w:bCs/>
                <w:sz w:val="18"/>
                <w:szCs w:val="18"/>
              </w:rPr>
            </w:pPr>
            <w:r>
              <w:rPr>
                <w:rFonts w:hint="eastAsia" w:ascii="Times New Roman" w:hAnsi="Times New Roman" w:eastAsia="宋体" w:cs="Times New Roman"/>
                <w:b/>
                <w:bCs/>
                <w:sz w:val="18"/>
                <w:szCs w:val="18"/>
              </w:rPr>
              <w:t>氯化铵</w:t>
            </w:r>
          </w:p>
          <w:p w14:paraId="0EDCC43B">
            <w:pPr>
              <w:keepLines w:val="0"/>
              <w:pageBreakBefore w:val="0"/>
              <w:wordWrap/>
              <w:overflowPunct/>
              <w:topLinePunct w:val="0"/>
              <w:bidi w:val="0"/>
              <w:spacing w:line="360" w:lineRule="auto"/>
              <w:rPr>
                <w:rFonts w:ascii="Times New Roman" w:hAnsi="Times New Roman" w:eastAsia="宋体" w:cs="Times New Roman"/>
                <w:b/>
                <w:bCs/>
                <w:sz w:val="18"/>
                <w:szCs w:val="18"/>
              </w:rPr>
            </w:pPr>
            <w:r>
              <w:rPr>
                <w:rFonts w:ascii="Times New Roman" w:hAnsi="Times New Roman" w:eastAsia="宋体" w:cs="Times New Roman"/>
                <w:b/>
                <w:bCs/>
                <w:sz w:val="18"/>
                <w:szCs w:val="18"/>
              </w:rPr>
              <w:t>g</w:t>
            </w:r>
          </w:p>
        </w:tc>
        <w:tc>
          <w:tcPr>
            <w:tcW w:w="0" w:type="auto"/>
            <w:vAlign w:val="top"/>
          </w:tcPr>
          <w:p w14:paraId="291CA946">
            <w:pPr>
              <w:keepLines w:val="0"/>
              <w:pageBreakBefore w:val="0"/>
              <w:wordWrap/>
              <w:overflowPunct/>
              <w:topLinePunct w:val="0"/>
              <w:bidi w:val="0"/>
              <w:spacing w:line="360" w:lineRule="auto"/>
              <w:rPr>
                <w:rFonts w:hint="eastAsia" w:ascii="Times New Roman" w:hAnsi="Times New Roman" w:eastAsia="宋体" w:cs="Times New Roman"/>
                <w:b/>
                <w:bCs/>
                <w:sz w:val="18"/>
                <w:szCs w:val="18"/>
                <w:lang w:val="en-US" w:eastAsia="zh-CN"/>
              </w:rPr>
            </w:pPr>
            <w:r>
              <w:rPr>
                <w:rFonts w:hint="eastAsia" w:ascii="Times New Roman" w:hAnsi="Times New Roman" w:eastAsia="宋体" w:cs="Times New Roman"/>
                <w:b/>
                <w:bCs/>
                <w:sz w:val="18"/>
                <w:szCs w:val="18"/>
                <w:lang w:val="en-US" w:eastAsia="zh-CN"/>
              </w:rPr>
              <w:t>磷酸二铵</w:t>
            </w:r>
          </w:p>
          <w:p w14:paraId="40D4E041">
            <w:pPr>
              <w:keepLines w:val="0"/>
              <w:pageBreakBefore w:val="0"/>
              <w:wordWrap/>
              <w:overflowPunct/>
              <w:topLinePunct w:val="0"/>
              <w:bidi w:val="0"/>
              <w:spacing w:line="360" w:lineRule="auto"/>
              <w:rPr>
                <w:rFonts w:ascii="Times New Roman" w:hAnsi="Times New Roman" w:eastAsia="宋体" w:cs="Times New Roman"/>
                <w:b/>
                <w:bCs/>
                <w:sz w:val="18"/>
                <w:szCs w:val="18"/>
              </w:rPr>
            </w:pPr>
            <w:r>
              <w:rPr>
                <w:rFonts w:ascii="Times New Roman" w:hAnsi="Times New Roman" w:eastAsia="宋体" w:cs="Times New Roman"/>
                <w:b/>
                <w:bCs/>
                <w:sz w:val="18"/>
                <w:szCs w:val="18"/>
              </w:rPr>
              <w:t xml:space="preserve">g  </w:t>
            </w:r>
          </w:p>
        </w:tc>
        <w:tc>
          <w:tcPr>
            <w:tcW w:w="0" w:type="auto"/>
            <w:vAlign w:val="top"/>
          </w:tcPr>
          <w:p w14:paraId="781F29DA">
            <w:pPr>
              <w:keepLines w:val="0"/>
              <w:pageBreakBefore w:val="0"/>
              <w:wordWrap/>
              <w:overflowPunct/>
              <w:topLinePunct w:val="0"/>
              <w:bidi w:val="0"/>
              <w:spacing w:line="360" w:lineRule="auto"/>
              <w:rPr>
                <w:rFonts w:hint="eastAsia" w:ascii="Times New Roman" w:hAnsi="Times New Roman" w:eastAsia="宋体" w:cs="Times New Roman"/>
                <w:b/>
                <w:bCs/>
                <w:sz w:val="18"/>
                <w:szCs w:val="18"/>
                <w:lang w:val="en-US" w:eastAsia="zh-CN"/>
              </w:rPr>
            </w:pPr>
            <w:r>
              <w:rPr>
                <w:rFonts w:hint="eastAsia" w:ascii="Times New Roman" w:hAnsi="Times New Roman" w:eastAsia="宋体" w:cs="Times New Roman"/>
                <w:b/>
                <w:bCs/>
                <w:sz w:val="18"/>
                <w:szCs w:val="18"/>
                <w:lang w:val="en-US" w:eastAsia="zh-CN"/>
              </w:rPr>
              <w:t>磷酸一铵</w:t>
            </w:r>
          </w:p>
          <w:p w14:paraId="01162E13">
            <w:pPr>
              <w:keepLines w:val="0"/>
              <w:pageBreakBefore w:val="0"/>
              <w:wordWrap/>
              <w:overflowPunct/>
              <w:topLinePunct w:val="0"/>
              <w:bidi w:val="0"/>
              <w:spacing w:line="360" w:lineRule="auto"/>
              <w:rPr>
                <w:rFonts w:ascii="Times New Roman" w:hAnsi="Times New Roman" w:eastAsia="宋体" w:cs="Times New Roman"/>
                <w:b/>
                <w:bCs/>
                <w:sz w:val="18"/>
                <w:szCs w:val="18"/>
              </w:rPr>
            </w:pPr>
            <w:r>
              <w:rPr>
                <w:rFonts w:ascii="Times New Roman" w:hAnsi="Times New Roman" w:eastAsia="宋体" w:cs="Times New Roman"/>
                <w:b/>
                <w:bCs/>
                <w:sz w:val="18"/>
                <w:szCs w:val="18"/>
              </w:rPr>
              <w:t>g</w:t>
            </w:r>
          </w:p>
        </w:tc>
        <w:tc>
          <w:tcPr>
            <w:tcW w:w="0" w:type="auto"/>
            <w:vAlign w:val="top"/>
          </w:tcPr>
          <w:p w14:paraId="2E3979BC">
            <w:pPr>
              <w:keepLines w:val="0"/>
              <w:pageBreakBefore w:val="0"/>
              <w:wordWrap/>
              <w:overflowPunct/>
              <w:topLinePunct w:val="0"/>
              <w:bidi w:val="0"/>
              <w:spacing w:line="360" w:lineRule="auto"/>
              <w:rPr>
                <w:rFonts w:ascii="Times New Roman" w:hAnsi="Times New Roman" w:eastAsia="宋体" w:cs="Times New Roman"/>
                <w:b/>
                <w:bCs/>
                <w:sz w:val="18"/>
                <w:szCs w:val="18"/>
              </w:rPr>
            </w:pPr>
            <w:r>
              <w:rPr>
                <w:rFonts w:hint="eastAsia" w:ascii="Times New Roman" w:hAnsi="Times New Roman" w:eastAsia="宋体" w:cs="Times New Roman"/>
                <w:b/>
                <w:bCs/>
                <w:sz w:val="18"/>
                <w:szCs w:val="18"/>
                <w:lang w:val="en-US" w:eastAsia="zh-CN"/>
              </w:rPr>
              <w:t>氯化钾</w:t>
            </w:r>
            <w:r>
              <w:rPr>
                <w:rFonts w:ascii="Times New Roman" w:hAnsi="Times New Roman" w:eastAsia="宋体" w:cs="Times New Roman"/>
                <w:b/>
                <w:bCs/>
                <w:sz w:val="18"/>
                <w:szCs w:val="18"/>
              </w:rPr>
              <w:t xml:space="preserve">  </w:t>
            </w:r>
          </w:p>
          <w:p w14:paraId="128B1128">
            <w:pPr>
              <w:keepLines w:val="0"/>
              <w:pageBreakBefore w:val="0"/>
              <w:wordWrap/>
              <w:overflowPunct/>
              <w:topLinePunct w:val="0"/>
              <w:bidi w:val="0"/>
              <w:spacing w:line="360" w:lineRule="auto"/>
              <w:rPr>
                <w:rFonts w:ascii="Times New Roman" w:hAnsi="Times New Roman" w:eastAsia="宋体" w:cs="Times New Roman"/>
                <w:b/>
                <w:bCs/>
                <w:sz w:val="18"/>
                <w:szCs w:val="18"/>
              </w:rPr>
            </w:pPr>
            <w:r>
              <w:rPr>
                <w:rFonts w:ascii="Times New Roman" w:hAnsi="Times New Roman" w:eastAsia="宋体" w:cs="Times New Roman"/>
                <w:b/>
                <w:bCs/>
                <w:sz w:val="18"/>
                <w:szCs w:val="18"/>
              </w:rPr>
              <w:t>g</w:t>
            </w:r>
          </w:p>
        </w:tc>
        <w:tc>
          <w:tcPr>
            <w:tcW w:w="0" w:type="auto"/>
            <w:vAlign w:val="top"/>
          </w:tcPr>
          <w:p w14:paraId="1B6DDDBB">
            <w:pPr>
              <w:keepLines w:val="0"/>
              <w:pageBreakBefore w:val="0"/>
              <w:wordWrap/>
              <w:overflowPunct/>
              <w:topLinePunct w:val="0"/>
              <w:bidi w:val="0"/>
              <w:spacing w:line="360" w:lineRule="auto"/>
              <w:rPr>
                <w:rFonts w:hint="eastAsia" w:ascii="Times New Roman" w:hAnsi="Times New Roman" w:eastAsia="宋体" w:cs="Times New Roman"/>
                <w:b/>
                <w:bCs/>
                <w:sz w:val="18"/>
                <w:szCs w:val="18"/>
              </w:rPr>
            </w:pPr>
            <w:r>
              <w:rPr>
                <w:rFonts w:hint="eastAsia" w:ascii="Times New Roman" w:hAnsi="Times New Roman" w:eastAsia="宋体" w:cs="Times New Roman"/>
                <w:b/>
                <w:bCs/>
                <w:sz w:val="18"/>
                <w:szCs w:val="18"/>
              </w:rPr>
              <w:t>膨润土</w:t>
            </w:r>
          </w:p>
          <w:p w14:paraId="1E6F5FE5">
            <w:pPr>
              <w:keepLines w:val="0"/>
              <w:pageBreakBefore w:val="0"/>
              <w:wordWrap/>
              <w:overflowPunct/>
              <w:topLinePunct w:val="0"/>
              <w:bidi w:val="0"/>
              <w:spacing w:line="360" w:lineRule="auto"/>
              <w:rPr>
                <w:rFonts w:hint="eastAsia" w:ascii="Times New Roman" w:hAnsi="Times New Roman" w:eastAsia="宋体" w:cs="Times New Roman"/>
                <w:b/>
                <w:bCs/>
                <w:sz w:val="18"/>
                <w:szCs w:val="18"/>
                <w:lang w:val="en-US" w:eastAsia="zh-CN"/>
              </w:rPr>
            </w:pPr>
            <w:r>
              <w:rPr>
                <w:rFonts w:hint="eastAsia" w:ascii="Times New Roman" w:hAnsi="Times New Roman" w:eastAsia="宋体" w:cs="Times New Roman"/>
                <w:b/>
                <w:bCs/>
                <w:sz w:val="18"/>
                <w:szCs w:val="18"/>
                <w:lang w:val="en-US" w:eastAsia="zh-CN"/>
              </w:rPr>
              <w:t>g</w:t>
            </w:r>
          </w:p>
        </w:tc>
        <w:tc>
          <w:tcPr>
            <w:tcW w:w="0" w:type="auto"/>
            <w:vAlign w:val="top"/>
          </w:tcPr>
          <w:p w14:paraId="5DF5B547">
            <w:pPr>
              <w:keepLines w:val="0"/>
              <w:pageBreakBefore w:val="0"/>
              <w:wordWrap/>
              <w:overflowPunct/>
              <w:topLinePunct w:val="0"/>
              <w:bidi w:val="0"/>
              <w:spacing w:line="360" w:lineRule="auto"/>
              <w:rPr>
                <w:rFonts w:hint="eastAsia" w:ascii="Times New Roman" w:hAnsi="Times New Roman" w:eastAsia="宋体" w:cs="Times New Roman"/>
                <w:b/>
                <w:bCs/>
                <w:sz w:val="18"/>
                <w:szCs w:val="18"/>
                <w:lang w:val="en-US" w:eastAsia="zh-CN"/>
              </w:rPr>
            </w:pPr>
            <w:r>
              <w:rPr>
                <w:rFonts w:hint="eastAsia" w:ascii="Times New Roman" w:hAnsi="Times New Roman" w:eastAsia="宋体" w:cs="Times New Roman"/>
                <w:b/>
                <w:bCs/>
                <w:sz w:val="18"/>
                <w:szCs w:val="18"/>
                <w:lang w:val="en-US" w:eastAsia="zh-CN"/>
              </w:rPr>
              <w:t>DCD</w:t>
            </w:r>
          </w:p>
          <w:p w14:paraId="0D495DD0">
            <w:pPr>
              <w:keepLines w:val="0"/>
              <w:pageBreakBefore w:val="0"/>
              <w:wordWrap/>
              <w:overflowPunct/>
              <w:topLinePunct w:val="0"/>
              <w:bidi w:val="0"/>
              <w:spacing w:line="360" w:lineRule="auto"/>
              <w:rPr>
                <w:rFonts w:hint="default" w:ascii="Times New Roman" w:hAnsi="Times New Roman" w:eastAsia="宋体" w:cs="Times New Roman"/>
                <w:b/>
                <w:bCs/>
                <w:sz w:val="18"/>
                <w:szCs w:val="18"/>
                <w:lang w:val="en-US" w:eastAsia="zh-CN"/>
              </w:rPr>
            </w:pPr>
            <w:r>
              <w:rPr>
                <w:rFonts w:hint="eastAsia" w:ascii="Times New Roman" w:hAnsi="Times New Roman" w:eastAsia="宋体" w:cs="Times New Roman"/>
                <w:b/>
                <w:bCs/>
                <w:sz w:val="18"/>
                <w:szCs w:val="18"/>
                <w:lang w:val="en-US" w:eastAsia="zh-CN"/>
              </w:rPr>
              <w:t xml:space="preserve"> g</w:t>
            </w:r>
          </w:p>
        </w:tc>
        <w:tc>
          <w:tcPr>
            <w:tcW w:w="0" w:type="auto"/>
            <w:shd w:val="clear" w:color="auto" w:fill="auto"/>
            <w:vAlign w:val="top"/>
          </w:tcPr>
          <w:p w14:paraId="6762FADD">
            <w:pPr>
              <w:keepLines w:val="0"/>
              <w:pageBreakBefore w:val="0"/>
              <w:wordWrap/>
              <w:overflowPunct/>
              <w:topLinePunct w:val="0"/>
              <w:bidi w:val="0"/>
              <w:spacing w:line="360" w:lineRule="auto"/>
              <w:rPr>
                <w:rFonts w:ascii="Times New Roman" w:hAnsi="Times New Roman" w:eastAsia="宋体" w:cs="Times New Roman"/>
                <w:b/>
                <w:bCs/>
                <w:sz w:val="18"/>
                <w:szCs w:val="18"/>
              </w:rPr>
            </w:pPr>
            <w:r>
              <w:rPr>
                <w:rFonts w:ascii="Times New Roman" w:hAnsi="Times New Roman" w:eastAsia="宋体" w:cs="Times New Roman"/>
                <w:b/>
                <w:bCs/>
                <w:sz w:val="18"/>
                <w:szCs w:val="18"/>
              </w:rPr>
              <w:t xml:space="preserve">NAM </w:t>
            </w:r>
          </w:p>
          <w:p w14:paraId="30213B91">
            <w:pPr>
              <w:keepLines w:val="0"/>
              <w:pageBreakBefore w:val="0"/>
              <w:wordWrap/>
              <w:overflowPunct/>
              <w:topLinePunct w:val="0"/>
              <w:bidi w:val="0"/>
              <w:spacing w:line="360" w:lineRule="auto"/>
              <w:rPr>
                <w:rFonts w:hint="eastAsia" w:ascii="Times New Roman" w:hAnsi="Times New Roman" w:eastAsia="宋体" w:cs="Times New Roman"/>
                <w:b/>
                <w:bCs/>
                <w:kern w:val="2"/>
                <w:sz w:val="18"/>
                <w:szCs w:val="18"/>
                <w:lang w:val="en-US" w:eastAsia="zh-CN" w:bidi="ar-SA"/>
              </w:rPr>
            </w:pPr>
            <w:r>
              <w:rPr>
                <w:rFonts w:ascii="Times New Roman" w:hAnsi="Times New Roman" w:eastAsia="宋体" w:cs="Times New Roman"/>
                <w:b/>
                <w:bCs/>
                <w:sz w:val="18"/>
                <w:szCs w:val="18"/>
              </w:rPr>
              <w:t>g</w:t>
            </w:r>
          </w:p>
        </w:tc>
      </w:tr>
      <w:tr w14:paraId="6EC92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14:paraId="5CB33B84">
            <w:pPr>
              <w:keepLines w:val="0"/>
              <w:pageBreakBefore w:val="0"/>
              <w:wordWrap/>
              <w:overflowPunct/>
              <w:topLinePunct w:val="0"/>
              <w:bidi w:val="0"/>
              <w:spacing w:line="360" w:lineRule="auto"/>
              <w:rPr>
                <w:rFonts w:ascii="Times New Roman" w:hAnsi="Times New Roman" w:eastAsia="宋体" w:cs="Times New Roman"/>
                <w:szCs w:val="21"/>
              </w:rPr>
            </w:pPr>
            <w:r>
              <w:rPr>
                <w:rFonts w:ascii="Times New Roman" w:hAnsi="Times New Roman" w:eastAsia="宋体" w:cs="Times New Roman"/>
                <w:szCs w:val="21"/>
              </w:rPr>
              <w:t>（1）</w:t>
            </w:r>
          </w:p>
        </w:tc>
        <w:tc>
          <w:tcPr>
            <w:tcW w:w="0" w:type="auto"/>
            <w:vAlign w:val="top"/>
          </w:tcPr>
          <w:p w14:paraId="4411F0BF">
            <w:pPr>
              <w:keepLines w:val="0"/>
              <w:pageBreakBefore w:val="0"/>
              <w:wordWrap/>
              <w:overflowPunct/>
              <w:topLinePunct w:val="0"/>
              <w:bidi w:val="0"/>
              <w:spacing w:line="360" w:lineRule="auto"/>
              <w:rPr>
                <w:rFonts w:ascii="Times New Roman" w:hAnsi="Times New Roman" w:eastAsia="宋体" w:cs="Times New Roman"/>
                <w:szCs w:val="21"/>
              </w:rPr>
            </w:pPr>
            <w:r>
              <w:rPr>
                <w:rFonts w:ascii="Times New Roman" w:hAnsi="Times New Roman" w:eastAsia="宋体" w:cs="Times New Roman"/>
                <w:szCs w:val="21"/>
              </w:rPr>
              <w:t>30</w:t>
            </w:r>
          </w:p>
        </w:tc>
        <w:tc>
          <w:tcPr>
            <w:tcW w:w="0" w:type="auto"/>
            <w:vAlign w:val="top"/>
          </w:tcPr>
          <w:p w14:paraId="17C36839">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1845E9F3">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648168EC">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62045E93">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6141C84C">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706E70F7">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4A1A84E1">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6A203E45">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p>
        </w:tc>
        <w:tc>
          <w:tcPr>
            <w:tcW w:w="0" w:type="auto"/>
            <w:shd w:val="clear" w:color="auto" w:fill="auto"/>
            <w:vAlign w:val="top"/>
          </w:tcPr>
          <w:p w14:paraId="6903F359">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p>
        </w:tc>
      </w:tr>
      <w:tr w14:paraId="2A46A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14:paraId="60AB0BE8">
            <w:pPr>
              <w:keepLines w:val="0"/>
              <w:pageBreakBefore w:val="0"/>
              <w:wordWrap/>
              <w:overflowPunct/>
              <w:topLinePunct w:val="0"/>
              <w:bidi w:val="0"/>
              <w:spacing w:line="360" w:lineRule="auto"/>
              <w:rPr>
                <w:rFonts w:ascii="Times New Roman" w:hAnsi="Times New Roman" w:eastAsia="宋体" w:cs="Times New Roman"/>
                <w:szCs w:val="21"/>
              </w:rPr>
            </w:pPr>
            <w:r>
              <w:rPr>
                <w:rFonts w:ascii="Times New Roman" w:hAnsi="Times New Roman" w:eastAsia="宋体" w:cs="Times New Roman"/>
                <w:szCs w:val="21"/>
              </w:rPr>
              <w:t>（2）</w:t>
            </w:r>
          </w:p>
        </w:tc>
        <w:tc>
          <w:tcPr>
            <w:tcW w:w="0" w:type="auto"/>
            <w:vAlign w:val="top"/>
          </w:tcPr>
          <w:p w14:paraId="0E1B0405">
            <w:pPr>
              <w:keepLines w:val="0"/>
              <w:pageBreakBefore w:val="0"/>
              <w:wordWrap/>
              <w:overflowPunct/>
              <w:topLinePunct w:val="0"/>
              <w:bidi w:val="0"/>
              <w:spacing w:line="360" w:lineRule="auto"/>
              <w:rPr>
                <w:rFonts w:ascii="Times New Roman" w:hAnsi="Times New Roman" w:eastAsia="宋体" w:cs="Times New Roman"/>
                <w:szCs w:val="21"/>
              </w:rPr>
            </w:pPr>
            <w:r>
              <w:rPr>
                <w:rFonts w:ascii="Times New Roman" w:hAnsi="Times New Roman" w:eastAsia="宋体" w:cs="Times New Roman"/>
                <w:szCs w:val="21"/>
              </w:rPr>
              <w:t>30</w:t>
            </w:r>
          </w:p>
        </w:tc>
        <w:tc>
          <w:tcPr>
            <w:tcW w:w="0" w:type="auto"/>
            <w:vAlign w:val="top"/>
          </w:tcPr>
          <w:p w14:paraId="2D839C58">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vAlign w:val="top"/>
          </w:tcPr>
          <w:p w14:paraId="432D83F3">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vAlign w:val="top"/>
          </w:tcPr>
          <w:p w14:paraId="10B098D7">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69202076">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7E27A8CC">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05557D2E">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64CB08E1">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63E0A4F5">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0.12</w:t>
            </w:r>
          </w:p>
        </w:tc>
        <w:tc>
          <w:tcPr>
            <w:tcW w:w="0" w:type="auto"/>
            <w:shd w:val="clear" w:color="auto" w:fill="auto"/>
            <w:vAlign w:val="top"/>
          </w:tcPr>
          <w:p w14:paraId="067E89CC">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p>
        </w:tc>
      </w:tr>
      <w:tr w14:paraId="04475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vAlign w:val="top"/>
          </w:tcPr>
          <w:p w14:paraId="2C441EC9">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（3）</w:t>
            </w:r>
          </w:p>
        </w:tc>
        <w:tc>
          <w:tcPr>
            <w:tcW w:w="0" w:type="auto"/>
            <w:shd w:val="clear" w:color="auto" w:fill="auto"/>
            <w:vAlign w:val="top"/>
          </w:tcPr>
          <w:p w14:paraId="6D9879C6">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30</w:t>
            </w:r>
          </w:p>
        </w:tc>
        <w:tc>
          <w:tcPr>
            <w:tcW w:w="0" w:type="auto"/>
            <w:vAlign w:val="top"/>
          </w:tcPr>
          <w:p w14:paraId="4E371248">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vAlign w:val="top"/>
          </w:tcPr>
          <w:p w14:paraId="75EEE67F">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vAlign w:val="top"/>
          </w:tcPr>
          <w:p w14:paraId="7FD27293">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2AC74C34">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243BF87F">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2AF7B92A">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556EB1BB">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0DC4F2EC">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p>
        </w:tc>
        <w:tc>
          <w:tcPr>
            <w:tcW w:w="0" w:type="auto"/>
            <w:shd w:val="clear" w:color="auto" w:fill="auto"/>
            <w:vAlign w:val="top"/>
          </w:tcPr>
          <w:p w14:paraId="349D2757">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lang w:val="en-US" w:eastAsia="zh-CN"/>
              </w:rPr>
              <w:t>0.21</w:t>
            </w:r>
          </w:p>
        </w:tc>
      </w:tr>
      <w:tr w14:paraId="6D3E7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vAlign w:val="top"/>
          </w:tcPr>
          <w:p w14:paraId="66725950">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（4）</w:t>
            </w:r>
          </w:p>
        </w:tc>
        <w:tc>
          <w:tcPr>
            <w:tcW w:w="0" w:type="auto"/>
            <w:shd w:val="clear" w:color="auto" w:fill="auto"/>
            <w:vAlign w:val="top"/>
          </w:tcPr>
          <w:p w14:paraId="67A7B74E">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p>
        </w:tc>
        <w:tc>
          <w:tcPr>
            <w:tcW w:w="0" w:type="auto"/>
            <w:vAlign w:val="top"/>
          </w:tcPr>
          <w:p w14:paraId="1884BE95">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66</w:t>
            </w:r>
          </w:p>
        </w:tc>
        <w:tc>
          <w:tcPr>
            <w:tcW w:w="0" w:type="auto"/>
            <w:vAlign w:val="top"/>
          </w:tcPr>
          <w:p w14:paraId="390E5614">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vAlign w:val="top"/>
          </w:tcPr>
          <w:p w14:paraId="486033F9">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7D640F4D">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7DEF9065">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27029312">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6F60CBFB">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326C3098">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shd w:val="clear" w:color="auto" w:fill="auto"/>
            <w:vAlign w:val="top"/>
          </w:tcPr>
          <w:p w14:paraId="61FF00B7">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p>
        </w:tc>
      </w:tr>
      <w:tr w14:paraId="1C3FB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vAlign w:val="top"/>
          </w:tcPr>
          <w:p w14:paraId="3571DD14">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（5）</w:t>
            </w:r>
          </w:p>
        </w:tc>
        <w:tc>
          <w:tcPr>
            <w:tcW w:w="0" w:type="auto"/>
            <w:vAlign w:val="top"/>
          </w:tcPr>
          <w:p w14:paraId="518D157F">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4CC43900">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66</w:t>
            </w:r>
          </w:p>
        </w:tc>
        <w:tc>
          <w:tcPr>
            <w:tcW w:w="0" w:type="auto"/>
            <w:vAlign w:val="top"/>
          </w:tcPr>
          <w:p w14:paraId="621B8468">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vAlign w:val="top"/>
          </w:tcPr>
          <w:p w14:paraId="29672EB6">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7A229FBE">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70AE3170">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29F9B0C4">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6F846105">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017FF6B4">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0.264</w:t>
            </w:r>
          </w:p>
        </w:tc>
        <w:tc>
          <w:tcPr>
            <w:tcW w:w="0" w:type="auto"/>
            <w:shd w:val="clear" w:color="auto" w:fill="auto"/>
            <w:vAlign w:val="top"/>
          </w:tcPr>
          <w:p w14:paraId="77FC05EE">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p>
        </w:tc>
      </w:tr>
      <w:tr w14:paraId="12B05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vAlign w:val="top"/>
          </w:tcPr>
          <w:p w14:paraId="66EB5854">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（6）</w:t>
            </w:r>
          </w:p>
        </w:tc>
        <w:tc>
          <w:tcPr>
            <w:tcW w:w="0" w:type="auto"/>
            <w:vAlign w:val="top"/>
          </w:tcPr>
          <w:p w14:paraId="27A9B56F">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4636AC9A">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66</w:t>
            </w:r>
          </w:p>
        </w:tc>
        <w:tc>
          <w:tcPr>
            <w:tcW w:w="0" w:type="auto"/>
            <w:vAlign w:val="top"/>
          </w:tcPr>
          <w:p w14:paraId="375BAD11">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vAlign w:val="top"/>
          </w:tcPr>
          <w:p w14:paraId="0219448B">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52ABA960">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58BBFA9D">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5921190A">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71A98033">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21739169">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shd w:val="clear" w:color="auto" w:fill="auto"/>
            <w:vAlign w:val="top"/>
          </w:tcPr>
          <w:p w14:paraId="14D0EB45">
            <w:pPr>
              <w:keepLines w:val="0"/>
              <w:pageBreakBefore w:val="0"/>
              <w:wordWrap/>
              <w:overflowPunct/>
              <w:topLinePunct w:val="0"/>
              <w:bidi w:val="0"/>
              <w:spacing w:line="360" w:lineRule="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0.462</w:t>
            </w:r>
          </w:p>
        </w:tc>
      </w:tr>
      <w:tr w14:paraId="602E6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vAlign w:val="top"/>
          </w:tcPr>
          <w:p w14:paraId="5DDED344">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（7）</w:t>
            </w:r>
          </w:p>
        </w:tc>
        <w:tc>
          <w:tcPr>
            <w:tcW w:w="0" w:type="auto"/>
            <w:vAlign w:val="top"/>
          </w:tcPr>
          <w:p w14:paraId="0BFBA3C6">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2</w:t>
            </w:r>
            <w:r>
              <w:rPr>
                <w:rFonts w:ascii="Times New Roman" w:hAnsi="Times New Roman" w:eastAsia="宋体" w:cs="Times New Roman"/>
                <w:szCs w:val="21"/>
              </w:rPr>
              <w:t>0.46</w:t>
            </w:r>
          </w:p>
        </w:tc>
        <w:tc>
          <w:tcPr>
            <w:tcW w:w="0" w:type="auto"/>
            <w:vAlign w:val="top"/>
          </w:tcPr>
          <w:p w14:paraId="28D10F48">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61DAFA0C">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7208A044">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0.77</w:t>
            </w:r>
          </w:p>
        </w:tc>
        <w:tc>
          <w:tcPr>
            <w:tcW w:w="0" w:type="auto"/>
            <w:vAlign w:val="top"/>
          </w:tcPr>
          <w:p w14:paraId="32BCF5D1">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6</w:t>
            </w:r>
            <w:r>
              <w:rPr>
                <w:rFonts w:ascii="Times New Roman" w:hAnsi="Times New Roman" w:eastAsia="宋体" w:cs="Times New Roman"/>
                <w:szCs w:val="21"/>
              </w:rPr>
              <w:t>.46</w:t>
            </w:r>
          </w:p>
        </w:tc>
        <w:tc>
          <w:tcPr>
            <w:tcW w:w="0" w:type="auto"/>
            <w:vAlign w:val="top"/>
          </w:tcPr>
          <w:p w14:paraId="49684286">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5</w:t>
            </w:r>
            <w:r>
              <w:rPr>
                <w:rFonts w:ascii="Times New Roman" w:hAnsi="Times New Roman" w:eastAsia="宋体" w:cs="Times New Roman"/>
                <w:szCs w:val="21"/>
              </w:rPr>
              <w:t>.39</w:t>
            </w:r>
          </w:p>
        </w:tc>
        <w:tc>
          <w:tcPr>
            <w:tcW w:w="0" w:type="auto"/>
            <w:vAlign w:val="top"/>
          </w:tcPr>
          <w:p w14:paraId="13A69A7A">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0.77</w:t>
            </w:r>
          </w:p>
        </w:tc>
        <w:tc>
          <w:tcPr>
            <w:tcW w:w="0" w:type="auto"/>
            <w:vAlign w:val="top"/>
          </w:tcPr>
          <w:p w14:paraId="1B785CFE">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7AFF780B">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shd w:val="clear" w:color="auto" w:fill="auto"/>
            <w:vAlign w:val="top"/>
          </w:tcPr>
          <w:p w14:paraId="7C30EF93">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p>
        </w:tc>
      </w:tr>
      <w:tr w14:paraId="3C16B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vAlign w:val="top"/>
          </w:tcPr>
          <w:p w14:paraId="48F557CA">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（8）</w:t>
            </w:r>
          </w:p>
        </w:tc>
        <w:tc>
          <w:tcPr>
            <w:tcW w:w="0" w:type="auto"/>
            <w:vAlign w:val="top"/>
          </w:tcPr>
          <w:p w14:paraId="43AF3B5E">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2</w:t>
            </w:r>
            <w:r>
              <w:rPr>
                <w:rFonts w:ascii="Times New Roman" w:hAnsi="Times New Roman" w:eastAsia="宋体" w:cs="Times New Roman"/>
                <w:szCs w:val="21"/>
              </w:rPr>
              <w:t>0.46</w:t>
            </w:r>
          </w:p>
        </w:tc>
        <w:tc>
          <w:tcPr>
            <w:tcW w:w="0" w:type="auto"/>
            <w:vAlign w:val="top"/>
          </w:tcPr>
          <w:p w14:paraId="23C770AB">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vAlign w:val="top"/>
          </w:tcPr>
          <w:p w14:paraId="5699255E">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vAlign w:val="top"/>
          </w:tcPr>
          <w:p w14:paraId="105DC621">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0.77</w:t>
            </w:r>
          </w:p>
        </w:tc>
        <w:tc>
          <w:tcPr>
            <w:tcW w:w="0" w:type="auto"/>
            <w:vAlign w:val="top"/>
          </w:tcPr>
          <w:p w14:paraId="114C91FD">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6</w:t>
            </w:r>
            <w:r>
              <w:rPr>
                <w:rFonts w:ascii="Times New Roman" w:hAnsi="Times New Roman" w:eastAsia="宋体" w:cs="Times New Roman"/>
                <w:szCs w:val="21"/>
              </w:rPr>
              <w:t>.46</w:t>
            </w:r>
          </w:p>
        </w:tc>
        <w:tc>
          <w:tcPr>
            <w:tcW w:w="0" w:type="auto"/>
            <w:vAlign w:val="top"/>
          </w:tcPr>
          <w:p w14:paraId="6D923018">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5</w:t>
            </w:r>
            <w:r>
              <w:rPr>
                <w:rFonts w:ascii="Times New Roman" w:hAnsi="Times New Roman" w:eastAsia="宋体" w:cs="Times New Roman"/>
                <w:szCs w:val="21"/>
              </w:rPr>
              <w:t>.39</w:t>
            </w:r>
          </w:p>
        </w:tc>
        <w:tc>
          <w:tcPr>
            <w:tcW w:w="0" w:type="auto"/>
            <w:vAlign w:val="top"/>
          </w:tcPr>
          <w:p w14:paraId="457B7F23">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0.77</w:t>
            </w:r>
          </w:p>
        </w:tc>
        <w:tc>
          <w:tcPr>
            <w:tcW w:w="0" w:type="auto"/>
            <w:vAlign w:val="top"/>
          </w:tcPr>
          <w:p w14:paraId="77419DA5">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1DCF928D">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shd w:val="clear" w:color="auto" w:fill="auto"/>
            <w:vAlign w:val="top"/>
          </w:tcPr>
          <w:p w14:paraId="4782B739">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0</w:t>
            </w:r>
            <w:r>
              <w:rPr>
                <w:rFonts w:ascii="Times New Roman" w:hAnsi="Times New Roman" w:eastAsia="宋体" w:cs="Times New Roman"/>
                <w:szCs w:val="21"/>
              </w:rPr>
              <w:t>.38</w:t>
            </w:r>
          </w:p>
        </w:tc>
      </w:tr>
      <w:tr w14:paraId="2BF66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14:paraId="2FD60CF5">
            <w:pPr>
              <w:keepLines w:val="0"/>
              <w:pageBreakBefore w:val="0"/>
              <w:wordWrap/>
              <w:overflowPunct/>
              <w:topLinePunct w:val="0"/>
              <w:bidi w:val="0"/>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9</w:t>
            </w:r>
            <w:r>
              <w:rPr>
                <w:rFonts w:ascii="Times New Roman" w:hAnsi="Times New Roman" w:eastAsia="宋体" w:cs="Times New Roman"/>
                <w:szCs w:val="21"/>
              </w:rPr>
              <w:t>）</w:t>
            </w:r>
          </w:p>
        </w:tc>
        <w:tc>
          <w:tcPr>
            <w:tcW w:w="0" w:type="auto"/>
            <w:vAlign w:val="top"/>
          </w:tcPr>
          <w:p w14:paraId="3A4D48BA">
            <w:pPr>
              <w:keepLines w:val="0"/>
              <w:pageBreakBefore w:val="0"/>
              <w:wordWrap/>
              <w:overflowPunct/>
              <w:topLinePunct w:val="0"/>
              <w:bidi w:val="0"/>
              <w:spacing w:line="360" w:lineRule="auto"/>
              <w:rPr>
                <w:rFonts w:ascii="Times New Roman" w:hAnsi="Times New Roman" w:eastAsia="宋体" w:cs="Times New Roman"/>
                <w:szCs w:val="21"/>
              </w:rPr>
            </w:pPr>
            <w:r>
              <w:rPr>
                <w:rFonts w:ascii="Times New Roman" w:hAnsi="Times New Roman" w:eastAsia="宋体" w:cs="Times New Roman"/>
                <w:szCs w:val="21"/>
              </w:rPr>
              <w:t>22</w:t>
            </w:r>
          </w:p>
        </w:tc>
        <w:tc>
          <w:tcPr>
            <w:tcW w:w="0" w:type="auto"/>
            <w:vAlign w:val="top"/>
          </w:tcPr>
          <w:p w14:paraId="24B6E8AE">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1EEB83EF">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70F786B7">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8</w:t>
            </w:r>
            <w:r>
              <w:rPr>
                <w:rFonts w:ascii="Times New Roman" w:hAnsi="Times New Roman" w:eastAsia="宋体" w:cs="Times New Roman"/>
                <w:szCs w:val="21"/>
              </w:rPr>
              <w:t>.5</w:t>
            </w:r>
          </w:p>
        </w:tc>
        <w:tc>
          <w:tcPr>
            <w:tcW w:w="0" w:type="auto"/>
            <w:vAlign w:val="top"/>
          </w:tcPr>
          <w:p w14:paraId="49B01419">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6</w:t>
            </w:r>
            <w:r>
              <w:rPr>
                <w:rFonts w:ascii="Times New Roman" w:hAnsi="Times New Roman" w:eastAsia="宋体" w:cs="Times New Roman"/>
                <w:szCs w:val="21"/>
              </w:rPr>
              <w:t>.00</w:t>
            </w:r>
          </w:p>
        </w:tc>
        <w:tc>
          <w:tcPr>
            <w:tcW w:w="0" w:type="auto"/>
            <w:vAlign w:val="top"/>
          </w:tcPr>
          <w:p w14:paraId="38F8BEB5">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5</w:t>
            </w:r>
            <w:r>
              <w:rPr>
                <w:rFonts w:ascii="Times New Roman" w:hAnsi="Times New Roman" w:eastAsia="宋体" w:cs="Times New Roman"/>
                <w:szCs w:val="21"/>
              </w:rPr>
              <w:t>.00</w:t>
            </w:r>
          </w:p>
        </w:tc>
        <w:tc>
          <w:tcPr>
            <w:tcW w:w="0" w:type="auto"/>
            <w:vAlign w:val="top"/>
          </w:tcPr>
          <w:p w14:paraId="7DFECE77">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8</w:t>
            </w:r>
            <w:r>
              <w:rPr>
                <w:rFonts w:ascii="Times New Roman" w:hAnsi="Times New Roman" w:eastAsia="宋体" w:cs="Times New Roman"/>
                <w:szCs w:val="21"/>
              </w:rPr>
              <w:t>.50</w:t>
            </w:r>
          </w:p>
        </w:tc>
        <w:tc>
          <w:tcPr>
            <w:tcW w:w="0" w:type="auto"/>
            <w:vAlign w:val="top"/>
          </w:tcPr>
          <w:p w14:paraId="024F29AC">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65604B29">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shd w:val="clear" w:color="auto" w:fill="auto"/>
            <w:vAlign w:val="top"/>
          </w:tcPr>
          <w:p w14:paraId="7BEA1C38">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p>
        </w:tc>
      </w:tr>
      <w:tr w14:paraId="3D807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14:paraId="245F952D">
            <w:pPr>
              <w:keepLines w:val="0"/>
              <w:pageBreakBefore w:val="0"/>
              <w:wordWrap/>
              <w:overflowPunct/>
              <w:topLinePunct w:val="0"/>
              <w:bidi w:val="0"/>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10</w:t>
            </w:r>
            <w:r>
              <w:rPr>
                <w:rFonts w:ascii="Times New Roman" w:hAnsi="Times New Roman" w:eastAsia="宋体" w:cs="Times New Roman"/>
                <w:szCs w:val="21"/>
              </w:rPr>
              <w:t>）</w:t>
            </w:r>
          </w:p>
        </w:tc>
        <w:tc>
          <w:tcPr>
            <w:tcW w:w="0" w:type="auto"/>
            <w:vAlign w:val="top"/>
          </w:tcPr>
          <w:p w14:paraId="49F53A76">
            <w:pPr>
              <w:keepLines w:val="0"/>
              <w:pageBreakBefore w:val="0"/>
              <w:wordWrap/>
              <w:overflowPunct/>
              <w:topLinePunct w:val="0"/>
              <w:bidi w:val="0"/>
              <w:spacing w:line="360" w:lineRule="auto"/>
              <w:rPr>
                <w:rFonts w:ascii="Times New Roman" w:hAnsi="Times New Roman" w:eastAsia="宋体" w:cs="Times New Roman"/>
                <w:szCs w:val="21"/>
              </w:rPr>
            </w:pPr>
            <w:r>
              <w:rPr>
                <w:rFonts w:ascii="Times New Roman" w:hAnsi="Times New Roman" w:eastAsia="宋体" w:cs="Times New Roman"/>
                <w:szCs w:val="21"/>
              </w:rPr>
              <w:t>22</w:t>
            </w:r>
          </w:p>
        </w:tc>
        <w:tc>
          <w:tcPr>
            <w:tcW w:w="0" w:type="auto"/>
            <w:vAlign w:val="top"/>
          </w:tcPr>
          <w:p w14:paraId="624FDD04">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vAlign w:val="top"/>
          </w:tcPr>
          <w:p w14:paraId="275FC55C">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vAlign w:val="top"/>
          </w:tcPr>
          <w:p w14:paraId="5CBD2C2E">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8</w:t>
            </w:r>
            <w:r>
              <w:rPr>
                <w:rFonts w:ascii="Times New Roman" w:hAnsi="Times New Roman" w:eastAsia="宋体" w:cs="Times New Roman"/>
                <w:szCs w:val="21"/>
              </w:rPr>
              <w:t>.5</w:t>
            </w:r>
          </w:p>
        </w:tc>
        <w:tc>
          <w:tcPr>
            <w:tcW w:w="0" w:type="auto"/>
            <w:vAlign w:val="top"/>
          </w:tcPr>
          <w:p w14:paraId="4A198BBB">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6</w:t>
            </w:r>
            <w:r>
              <w:rPr>
                <w:rFonts w:ascii="Times New Roman" w:hAnsi="Times New Roman" w:eastAsia="宋体" w:cs="Times New Roman"/>
                <w:szCs w:val="21"/>
              </w:rPr>
              <w:t>.00</w:t>
            </w:r>
          </w:p>
        </w:tc>
        <w:tc>
          <w:tcPr>
            <w:tcW w:w="0" w:type="auto"/>
            <w:vAlign w:val="top"/>
          </w:tcPr>
          <w:p w14:paraId="429EE136">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5</w:t>
            </w:r>
            <w:r>
              <w:rPr>
                <w:rFonts w:ascii="Times New Roman" w:hAnsi="Times New Roman" w:eastAsia="宋体" w:cs="Times New Roman"/>
                <w:szCs w:val="21"/>
              </w:rPr>
              <w:t>.00</w:t>
            </w:r>
          </w:p>
        </w:tc>
        <w:tc>
          <w:tcPr>
            <w:tcW w:w="0" w:type="auto"/>
            <w:vAlign w:val="top"/>
          </w:tcPr>
          <w:p w14:paraId="69FBC2B1">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8</w:t>
            </w:r>
            <w:r>
              <w:rPr>
                <w:rFonts w:ascii="Times New Roman" w:hAnsi="Times New Roman" w:eastAsia="宋体" w:cs="Times New Roman"/>
                <w:szCs w:val="21"/>
              </w:rPr>
              <w:t>.50</w:t>
            </w:r>
          </w:p>
        </w:tc>
        <w:tc>
          <w:tcPr>
            <w:tcW w:w="0" w:type="auto"/>
            <w:vAlign w:val="top"/>
          </w:tcPr>
          <w:p w14:paraId="7E055BDE">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2BC32789">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shd w:val="clear" w:color="auto" w:fill="auto"/>
            <w:vAlign w:val="top"/>
          </w:tcPr>
          <w:p w14:paraId="24F4FCDA">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0</w:t>
            </w:r>
            <w:r>
              <w:rPr>
                <w:rFonts w:ascii="Times New Roman" w:hAnsi="Times New Roman" w:eastAsia="宋体" w:cs="Times New Roman"/>
                <w:szCs w:val="21"/>
              </w:rPr>
              <w:t>.35</w:t>
            </w:r>
          </w:p>
        </w:tc>
      </w:tr>
      <w:tr w14:paraId="44BBC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14:paraId="1765D373">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w:t>
            </w:r>
            <w:r>
              <w:rPr>
                <w:rFonts w:hint="eastAsia" w:ascii="Times New Roman" w:hAnsi="Times New Roman" w:eastAsia="宋体" w:cs="Times New Roman"/>
                <w:szCs w:val="21"/>
                <w:lang w:val="en-US" w:eastAsia="zh-CN"/>
              </w:rPr>
              <w:t>11</w:t>
            </w:r>
            <w:r>
              <w:rPr>
                <w:rFonts w:hint="eastAsia" w:ascii="Times New Roman" w:hAnsi="Times New Roman" w:eastAsia="宋体" w:cs="Times New Roman"/>
                <w:szCs w:val="21"/>
              </w:rPr>
              <w:t>）</w:t>
            </w:r>
          </w:p>
        </w:tc>
        <w:tc>
          <w:tcPr>
            <w:tcW w:w="0" w:type="auto"/>
            <w:vAlign w:val="top"/>
          </w:tcPr>
          <w:p w14:paraId="0FE90BB8">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4.63</w:t>
            </w:r>
          </w:p>
        </w:tc>
        <w:tc>
          <w:tcPr>
            <w:tcW w:w="0" w:type="auto"/>
            <w:vAlign w:val="top"/>
          </w:tcPr>
          <w:p w14:paraId="74D6D669">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7B3F9A44">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4FF21FC5">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5.27</w:t>
            </w:r>
          </w:p>
        </w:tc>
        <w:tc>
          <w:tcPr>
            <w:tcW w:w="0" w:type="auto"/>
            <w:vAlign w:val="top"/>
          </w:tcPr>
          <w:p w14:paraId="3779183A">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7</w:t>
            </w:r>
            <w:r>
              <w:rPr>
                <w:rFonts w:ascii="Times New Roman" w:hAnsi="Times New Roman" w:eastAsia="宋体" w:cs="Times New Roman"/>
                <w:szCs w:val="21"/>
              </w:rPr>
              <w:t>.64</w:t>
            </w:r>
          </w:p>
        </w:tc>
        <w:tc>
          <w:tcPr>
            <w:tcW w:w="0" w:type="auto"/>
            <w:vAlign w:val="top"/>
          </w:tcPr>
          <w:p w14:paraId="087DF3CB">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6</w:t>
            </w:r>
            <w:r>
              <w:rPr>
                <w:rFonts w:ascii="Times New Roman" w:hAnsi="Times New Roman" w:eastAsia="宋体" w:cs="Times New Roman"/>
                <w:szCs w:val="21"/>
              </w:rPr>
              <w:t>.36</w:t>
            </w:r>
          </w:p>
        </w:tc>
        <w:tc>
          <w:tcPr>
            <w:tcW w:w="0" w:type="auto"/>
            <w:vAlign w:val="top"/>
          </w:tcPr>
          <w:p w14:paraId="6CA5FF02">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0.82</w:t>
            </w:r>
          </w:p>
        </w:tc>
        <w:tc>
          <w:tcPr>
            <w:tcW w:w="0" w:type="auto"/>
            <w:vAlign w:val="top"/>
          </w:tcPr>
          <w:p w14:paraId="59B0C566">
            <w:pPr>
              <w:keepLines w:val="0"/>
              <w:pageBreakBefore w:val="0"/>
              <w:wordWrap/>
              <w:overflowPunct/>
              <w:topLinePunct w:val="0"/>
              <w:bidi w:val="0"/>
              <w:spacing w:line="360" w:lineRule="auto"/>
              <w:rPr>
                <w:rFonts w:ascii="Times New Roman" w:hAnsi="Times New Roman" w:eastAsia="宋体" w:cs="Times New Roman"/>
                <w:szCs w:val="21"/>
              </w:rPr>
            </w:pPr>
            <w:r>
              <w:rPr>
                <w:rFonts w:ascii="Times New Roman" w:hAnsi="Times New Roman" w:eastAsia="宋体" w:cs="Times New Roman"/>
                <w:szCs w:val="21"/>
              </w:rPr>
              <w:t>8.91</w:t>
            </w:r>
          </w:p>
        </w:tc>
        <w:tc>
          <w:tcPr>
            <w:tcW w:w="0" w:type="auto"/>
            <w:vAlign w:val="top"/>
          </w:tcPr>
          <w:p w14:paraId="403FDED4">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shd w:val="clear" w:color="auto" w:fill="auto"/>
            <w:vAlign w:val="top"/>
          </w:tcPr>
          <w:p w14:paraId="56EB7442">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p>
        </w:tc>
      </w:tr>
      <w:tr w14:paraId="3D41A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14:paraId="14B87460">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w:t>
            </w:r>
            <w:r>
              <w:rPr>
                <w:rFonts w:hint="eastAsia" w:ascii="Times New Roman" w:hAnsi="Times New Roman" w:eastAsia="宋体" w:cs="Times New Roman"/>
                <w:szCs w:val="21"/>
                <w:lang w:val="en-US" w:eastAsia="zh-CN"/>
              </w:rPr>
              <w:t>12</w:t>
            </w:r>
            <w:r>
              <w:rPr>
                <w:rFonts w:hint="eastAsia" w:ascii="Times New Roman" w:hAnsi="Times New Roman" w:eastAsia="宋体" w:cs="Times New Roman"/>
                <w:szCs w:val="21"/>
              </w:rPr>
              <w:t>）</w:t>
            </w:r>
          </w:p>
        </w:tc>
        <w:tc>
          <w:tcPr>
            <w:tcW w:w="0" w:type="auto"/>
            <w:vAlign w:val="top"/>
          </w:tcPr>
          <w:p w14:paraId="2F827C86">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4.63</w:t>
            </w:r>
          </w:p>
        </w:tc>
        <w:tc>
          <w:tcPr>
            <w:tcW w:w="0" w:type="auto"/>
            <w:vAlign w:val="top"/>
          </w:tcPr>
          <w:p w14:paraId="7B429621">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vAlign w:val="top"/>
          </w:tcPr>
          <w:p w14:paraId="28D0BDC3">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vAlign w:val="top"/>
          </w:tcPr>
          <w:p w14:paraId="117A8326">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5.27</w:t>
            </w:r>
          </w:p>
        </w:tc>
        <w:tc>
          <w:tcPr>
            <w:tcW w:w="0" w:type="auto"/>
            <w:vAlign w:val="top"/>
          </w:tcPr>
          <w:p w14:paraId="1AC95F08">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7</w:t>
            </w:r>
            <w:r>
              <w:rPr>
                <w:rFonts w:ascii="Times New Roman" w:hAnsi="Times New Roman" w:eastAsia="宋体" w:cs="Times New Roman"/>
                <w:szCs w:val="21"/>
              </w:rPr>
              <w:t>.64</w:t>
            </w:r>
          </w:p>
        </w:tc>
        <w:tc>
          <w:tcPr>
            <w:tcW w:w="0" w:type="auto"/>
            <w:vAlign w:val="top"/>
          </w:tcPr>
          <w:p w14:paraId="3BDE42EA">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6</w:t>
            </w:r>
            <w:r>
              <w:rPr>
                <w:rFonts w:ascii="Times New Roman" w:hAnsi="Times New Roman" w:eastAsia="宋体" w:cs="Times New Roman"/>
                <w:szCs w:val="21"/>
              </w:rPr>
              <w:t>.36</w:t>
            </w:r>
          </w:p>
        </w:tc>
        <w:tc>
          <w:tcPr>
            <w:tcW w:w="0" w:type="auto"/>
            <w:vAlign w:val="top"/>
          </w:tcPr>
          <w:p w14:paraId="346ED9B9">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0.82</w:t>
            </w:r>
          </w:p>
        </w:tc>
        <w:tc>
          <w:tcPr>
            <w:tcW w:w="0" w:type="auto"/>
            <w:vAlign w:val="top"/>
          </w:tcPr>
          <w:p w14:paraId="61BC992E">
            <w:pPr>
              <w:keepLines w:val="0"/>
              <w:pageBreakBefore w:val="0"/>
              <w:wordWrap/>
              <w:overflowPunct/>
              <w:topLinePunct w:val="0"/>
              <w:bidi w:val="0"/>
              <w:spacing w:line="360" w:lineRule="auto"/>
              <w:rPr>
                <w:rFonts w:ascii="Times New Roman" w:hAnsi="Times New Roman" w:eastAsia="宋体" w:cs="Times New Roman"/>
                <w:szCs w:val="21"/>
              </w:rPr>
            </w:pPr>
            <w:r>
              <w:rPr>
                <w:rFonts w:ascii="Times New Roman" w:hAnsi="Times New Roman" w:eastAsia="宋体" w:cs="Times New Roman"/>
                <w:szCs w:val="21"/>
              </w:rPr>
              <w:t>8.91</w:t>
            </w:r>
          </w:p>
        </w:tc>
        <w:tc>
          <w:tcPr>
            <w:tcW w:w="0" w:type="auto"/>
            <w:vAlign w:val="top"/>
          </w:tcPr>
          <w:p w14:paraId="1824A1CF">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shd w:val="clear" w:color="auto" w:fill="auto"/>
            <w:vAlign w:val="top"/>
          </w:tcPr>
          <w:p w14:paraId="7477116E">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0</w:t>
            </w:r>
            <w:r>
              <w:rPr>
                <w:rFonts w:ascii="Times New Roman" w:hAnsi="Times New Roman" w:eastAsia="宋体" w:cs="Times New Roman"/>
                <w:szCs w:val="21"/>
              </w:rPr>
              <w:t>.45</w:t>
            </w:r>
          </w:p>
        </w:tc>
      </w:tr>
      <w:tr w14:paraId="1B365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14:paraId="1A4C6256">
            <w:pPr>
              <w:keepLines w:val="0"/>
              <w:pageBreakBefore w:val="0"/>
              <w:wordWrap/>
              <w:overflowPunct/>
              <w:topLinePunct w:val="0"/>
              <w:bidi w:val="0"/>
              <w:spacing w:line="360" w:lineRule="auto"/>
              <w:rPr>
                <w:rFonts w:hint="eastAsia" w:ascii="Times New Roman" w:hAnsi="Times New Roman" w:eastAsia="宋体" w:cs="Times New Roman"/>
                <w:szCs w:val="21"/>
                <w:lang w:eastAsia="zh-CN"/>
              </w:rPr>
            </w:pP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lang w:val="en-US" w:eastAsia="zh-CN"/>
              </w:rPr>
              <w:t>13</w:t>
            </w:r>
            <w:r>
              <w:rPr>
                <w:rFonts w:hint="eastAsia" w:ascii="Times New Roman" w:hAnsi="Times New Roman" w:eastAsia="宋体" w:cs="Times New Roman"/>
                <w:szCs w:val="21"/>
                <w:lang w:eastAsia="zh-CN"/>
              </w:rPr>
              <w:t>）</w:t>
            </w:r>
          </w:p>
        </w:tc>
        <w:tc>
          <w:tcPr>
            <w:tcW w:w="0" w:type="auto"/>
            <w:vAlign w:val="top"/>
          </w:tcPr>
          <w:p w14:paraId="0E8DE157">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vAlign w:val="top"/>
          </w:tcPr>
          <w:p w14:paraId="06B78534">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vAlign w:val="top"/>
          </w:tcPr>
          <w:p w14:paraId="2063468E">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79</w:t>
            </w:r>
          </w:p>
        </w:tc>
        <w:tc>
          <w:tcPr>
            <w:tcW w:w="0" w:type="auto"/>
            <w:vAlign w:val="top"/>
          </w:tcPr>
          <w:p w14:paraId="2DEBB60D">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vAlign w:val="top"/>
          </w:tcPr>
          <w:p w14:paraId="5661F450">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vAlign w:val="top"/>
          </w:tcPr>
          <w:p w14:paraId="53C809A9">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vAlign w:val="top"/>
          </w:tcPr>
          <w:p w14:paraId="0B92534E">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vAlign w:val="top"/>
          </w:tcPr>
          <w:p w14:paraId="6F6D62C5">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6783D73F">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shd w:val="clear" w:color="auto" w:fill="auto"/>
            <w:vAlign w:val="top"/>
          </w:tcPr>
          <w:p w14:paraId="232E9B68">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p>
        </w:tc>
      </w:tr>
      <w:tr w14:paraId="7AE06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14:paraId="5613610F">
            <w:pPr>
              <w:keepLines w:val="0"/>
              <w:pageBreakBefore w:val="0"/>
              <w:wordWrap/>
              <w:overflowPunct/>
              <w:topLinePunct w:val="0"/>
              <w:bidi w:val="0"/>
              <w:spacing w:line="360" w:lineRule="auto"/>
              <w:rPr>
                <w:rFonts w:hint="eastAsia" w:ascii="Times New Roman" w:hAnsi="Times New Roman" w:eastAsia="宋体" w:cs="Times New Roman"/>
                <w:szCs w:val="21"/>
                <w:lang w:eastAsia="zh-CN"/>
              </w:rPr>
            </w:pP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lang w:val="en-US" w:eastAsia="zh-CN"/>
              </w:rPr>
              <w:t>14</w:t>
            </w:r>
            <w:r>
              <w:rPr>
                <w:rFonts w:hint="eastAsia" w:ascii="Times New Roman" w:hAnsi="Times New Roman" w:eastAsia="宋体" w:cs="Times New Roman"/>
                <w:szCs w:val="21"/>
                <w:lang w:eastAsia="zh-CN"/>
              </w:rPr>
              <w:t>）</w:t>
            </w:r>
          </w:p>
        </w:tc>
        <w:tc>
          <w:tcPr>
            <w:tcW w:w="0" w:type="auto"/>
            <w:vAlign w:val="top"/>
          </w:tcPr>
          <w:p w14:paraId="6DA31A12">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vAlign w:val="top"/>
          </w:tcPr>
          <w:p w14:paraId="2D961D38">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vAlign w:val="top"/>
          </w:tcPr>
          <w:p w14:paraId="7C4877C2">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79</w:t>
            </w:r>
          </w:p>
        </w:tc>
        <w:tc>
          <w:tcPr>
            <w:tcW w:w="0" w:type="auto"/>
            <w:vAlign w:val="top"/>
          </w:tcPr>
          <w:p w14:paraId="11F1F013">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vAlign w:val="top"/>
          </w:tcPr>
          <w:p w14:paraId="10E4DCC4">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vAlign w:val="top"/>
          </w:tcPr>
          <w:p w14:paraId="1447E8FA">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vAlign w:val="top"/>
          </w:tcPr>
          <w:p w14:paraId="4DA82E5B">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vAlign w:val="top"/>
          </w:tcPr>
          <w:p w14:paraId="2715FFB2">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16A759F5">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0.316</w:t>
            </w:r>
          </w:p>
        </w:tc>
        <w:tc>
          <w:tcPr>
            <w:tcW w:w="0" w:type="auto"/>
            <w:shd w:val="clear" w:color="auto" w:fill="auto"/>
            <w:vAlign w:val="top"/>
          </w:tcPr>
          <w:p w14:paraId="53E71CB3">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p>
        </w:tc>
      </w:tr>
      <w:tr w14:paraId="535D4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14:paraId="7FBE402C">
            <w:pPr>
              <w:keepLines w:val="0"/>
              <w:pageBreakBefore w:val="0"/>
              <w:wordWrap/>
              <w:overflowPunct/>
              <w:topLinePunct w:val="0"/>
              <w:bidi w:val="0"/>
              <w:spacing w:line="360" w:lineRule="auto"/>
              <w:rPr>
                <w:rFonts w:hint="eastAsia" w:ascii="Times New Roman" w:hAnsi="Times New Roman" w:eastAsia="宋体" w:cs="Times New Roman"/>
                <w:szCs w:val="21"/>
                <w:lang w:eastAsia="zh-CN"/>
              </w:rPr>
            </w:pP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lang w:val="en-US" w:eastAsia="zh-CN"/>
              </w:rPr>
              <w:t>15</w:t>
            </w:r>
            <w:r>
              <w:rPr>
                <w:rFonts w:hint="eastAsia" w:ascii="Times New Roman" w:hAnsi="Times New Roman" w:eastAsia="宋体" w:cs="Times New Roman"/>
                <w:szCs w:val="21"/>
                <w:lang w:eastAsia="zh-CN"/>
              </w:rPr>
              <w:t>）</w:t>
            </w:r>
          </w:p>
        </w:tc>
        <w:tc>
          <w:tcPr>
            <w:tcW w:w="0" w:type="auto"/>
            <w:vAlign w:val="top"/>
          </w:tcPr>
          <w:p w14:paraId="5DAF59C2">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vAlign w:val="top"/>
          </w:tcPr>
          <w:p w14:paraId="658EAF67">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vAlign w:val="top"/>
          </w:tcPr>
          <w:p w14:paraId="6D4A7895">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79</w:t>
            </w:r>
          </w:p>
        </w:tc>
        <w:tc>
          <w:tcPr>
            <w:tcW w:w="0" w:type="auto"/>
            <w:vAlign w:val="top"/>
          </w:tcPr>
          <w:p w14:paraId="6812483E">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vAlign w:val="top"/>
          </w:tcPr>
          <w:p w14:paraId="3C1DEE9A">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vAlign w:val="top"/>
          </w:tcPr>
          <w:p w14:paraId="7F0A530F">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vAlign w:val="top"/>
          </w:tcPr>
          <w:p w14:paraId="3FE77601">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0" w:type="auto"/>
            <w:vAlign w:val="top"/>
          </w:tcPr>
          <w:p w14:paraId="5B021C14">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1E574970">
            <w:pPr>
              <w:keepLines w:val="0"/>
              <w:pageBreakBefore w:val="0"/>
              <w:wordWrap/>
              <w:overflowPunct/>
              <w:topLinePunct w:val="0"/>
              <w:bidi w:val="0"/>
              <w:spacing w:line="360" w:lineRule="auto"/>
              <w:rPr>
                <w:rFonts w:ascii="Times New Roman" w:hAnsi="Times New Roman" w:eastAsia="宋体" w:cs="Times New Roman"/>
                <w:szCs w:val="21"/>
              </w:rPr>
            </w:pPr>
          </w:p>
        </w:tc>
        <w:tc>
          <w:tcPr>
            <w:tcW w:w="0" w:type="auto"/>
            <w:vAlign w:val="top"/>
          </w:tcPr>
          <w:p w14:paraId="5E5F9BF2">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0.553</w:t>
            </w:r>
          </w:p>
        </w:tc>
      </w:tr>
    </w:tbl>
    <w:p w14:paraId="71920FF9">
      <w:pPr>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ascii="Times New Roman" w:hAnsi="Times New Roman" w:eastAsia="宋体" w:cs="Times New Roman"/>
          <w:sz w:val="24"/>
          <w:szCs w:val="24"/>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lang w:eastAsia="zh-CN"/>
        </w:rPr>
        <w:t>）</w:t>
      </w:r>
      <w:r>
        <w:rPr>
          <w:rFonts w:ascii="Times New Roman" w:hAnsi="Times New Roman" w:eastAsia="宋体" w:cs="Times New Roman"/>
          <w:sz w:val="24"/>
          <w:szCs w:val="24"/>
        </w:rPr>
        <w:t>氯酸钠溶液（1.5 mol/L）：称取1.597g分析纯氯酸钠，用蒸馏水稀释定容至10mL。</w:t>
      </w:r>
    </w:p>
    <w:p w14:paraId="5C3153B8">
      <w:pPr>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ascii="Times New Roman" w:hAnsi="Times New Roman" w:eastAsia="宋体" w:cs="Times New Roman"/>
          <w:sz w:val="24"/>
          <w:szCs w:val="24"/>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3</w:t>
      </w:r>
      <w:r>
        <w:rPr>
          <w:rFonts w:hint="eastAsia" w:ascii="Times New Roman" w:hAnsi="Times New Roman" w:eastAsia="宋体" w:cs="Times New Roman"/>
          <w:sz w:val="24"/>
          <w:szCs w:val="24"/>
          <w:lang w:eastAsia="zh-CN"/>
        </w:rPr>
        <w:t>）</w:t>
      </w:r>
      <w:r>
        <w:rPr>
          <w:rFonts w:ascii="Times New Roman" w:hAnsi="Times New Roman" w:eastAsia="宋体" w:cs="Times New Roman"/>
          <w:sz w:val="24"/>
          <w:szCs w:val="24"/>
        </w:rPr>
        <w:t>氯化钾溶液（2 mol/L）：称取149.1g 分析纯氯化钾, 用蒸馏水稀释定容至 1 L。</w:t>
      </w:r>
    </w:p>
    <w:p w14:paraId="24213922">
      <w:pPr>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ascii="Times New Roman" w:hAnsi="Times New Roman" w:eastAsia="宋体" w:cs="Times New Roman"/>
          <w:sz w:val="24"/>
          <w:szCs w:val="24"/>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4</w:t>
      </w:r>
      <w:r>
        <w:rPr>
          <w:rFonts w:hint="eastAsia" w:ascii="Times New Roman" w:hAnsi="Times New Roman" w:eastAsia="宋体" w:cs="Times New Roman"/>
          <w:sz w:val="24"/>
          <w:szCs w:val="24"/>
          <w:lang w:eastAsia="zh-CN"/>
        </w:rPr>
        <w:t>）</w:t>
      </w:r>
      <w:r>
        <w:rPr>
          <w:rFonts w:ascii="Times New Roman" w:hAnsi="Times New Roman" w:eastAsia="宋体" w:cs="Times New Roman"/>
          <w:sz w:val="24"/>
          <w:szCs w:val="24"/>
        </w:rPr>
        <w:t>氯化铵缓冲液（0.19 mol/L，pH = 8.5）：称取10.00g分析纯氯化铵，溶解于900ml蒸馏水中，用氨水调节pH至8.5左右，再用蒸馏水定容至 1 L。</w:t>
      </w:r>
    </w:p>
    <w:p w14:paraId="0BE5ED4F">
      <w:pPr>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ascii="Times New Roman" w:hAnsi="Times New Roman" w:eastAsia="宋体" w:cs="Times New Roman"/>
          <w:sz w:val="24"/>
          <w:szCs w:val="24"/>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5</w:t>
      </w:r>
      <w:r>
        <w:rPr>
          <w:rFonts w:hint="eastAsia" w:ascii="Times New Roman" w:hAnsi="Times New Roman" w:eastAsia="宋体" w:cs="Times New Roman"/>
          <w:sz w:val="24"/>
          <w:szCs w:val="24"/>
          <w:lang w:eastAsia="zh-CN"/>
        </w:rPr>
        <w:t>）</w:t>
      </w:r>
      <w:r>
        <w:rPr>
          <w:rFonts w:ascii="Times New Roman" w:hAnsi="Times New Roman" w:eastAsia="宋体" w:cs="Times New Roman"/>
          <w:sz w:val="24"/>
          <w:szCs w:val="24"/>
        </w:rPr>
        <w:t>显色剂：称取2.00g 磺胺（分析纯）和0.100g（1-萘基）-乙二胺盐酸溶解于150ml蒸馏水中（分析纯），再加入20ml浓磷酸，用蒸馏水定容至200ml，当天配置当天使用。该溶液应该是无色的。</w:t>
      </w:r>
    </w:p>
    <w:p w14:paraId="1B3B07A6">
      <w:pPr>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ascii="Times New Roman" w:hAnsi="Times New Roman" w:eastAsia="宋体" w:cs="Times New Roman"/>
          <w:sz w:val="24"/>
          <w:szCs w:val="24"/>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6</w:t>
      </w:r>
      <w:r>
        <w:rPr>
          <w:rFonts w:hint="eastAsia" w:ascii="Times New Roman" w:hAnsi="Times New Roman" w:eastAsia="宋体" w:cs="Times New Roman"/>
          <w:sz w:val="24"/>
          <w:szCs w:val="24"/>
          <w:lang w:eastAsia="zh-CN"/>
        </w:rPr>
        <w:t>）</w:t>
      </w:r>
      <w:r>
        <w:rPr>
          <w:rFonts w:ascii="Times New Roman" w:hAnsi="Times New Roman" w:eastAsia="宋体" w:cs="Times New Roman"/>
          <w:sz w:val="24"/>
          <w:szCs w:val="24"/>
        </w:rPr>
        <w:t>亚硝态氮标准贮备溶液（1</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g/L）：称取0.4926g 亚硝酸钠（分析纯）溶解于50 mL水中，定容至100 ml，4℃冰箱中避光保存，可放置6个月。</w:t>
      </w:r>
    </w:p>
    <w:p w14:paraId="1FB1FD7D">
      <w:pPr>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ascii="Times New Roman" w:hAnsi="Times New Roman" w:eastAsia="宋体" w:cs="Times New Roman"/>
          <w:sz w:val="24"/>
          <w:szCs w:val="24"/>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7</w:t>
      </w:r>
      <w:r>
        <w:rPr>
          <w:rFonts w:hint="eastAsia" w:ascii="Times New Roman" w:hAnsi="Times New Roman" w:eastAsia="宋体" w:cs="Times New Roman"/>
          <w:sz w:val="24"/>
          <w:szCs w:val="24"/>
          <w:lang w:eastAsia="zh-CN"/>
        </w:rPr>
        <w:t>）</w:t>
      </w:r>
      <w:r>
        <w:rPr>
          <w:rFonts w:ascii="Times New Roman" w:hAnsi="Times New Roman" w:eastAsia="宋体" w:cs="Times New Roman"/>
          <w:sz w:val="24"/>
          <w:szCs w:val="24"/>
        </w:rPr>
        <w:t>亚硝态氮标准溶液（10</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mg/L）：准确吸取5ml NO2--N标准贮备液定容到500ml容量瓶中，获得10 mg /L的标准液体，现配现用。</w:t>
      </w:r>
    </w:p>
    <w:p w14:paraId="5808D810">
      <w:pPr>
        <w:keepLines w:val="0"/>
        <w:pageBreakBefore w:val="0"/>
        <w:widowControl/>
        <w:kinsoku w:val="0"/>
        <w:wordWrap/>
        <w:overflowPunct/>
        <w:topLinePunct w:val="0"/>
        <w:autoSpaceDE w:val="0"/>
        <w:autoSpaceDN w:val="0"/>
        <w:bidi w:val="0"/>
        <w:adjustRightInd w:val="0"/>
        <w:snapToGrid w:val="0"/>
        <w:spacing w:line="360" w:lineRule="auto"/>
        <w:jc w:val="left"/>
        <w:textAlignment w:val="baseline"/>
        <w:outlineLvl w:val="0"/>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1.1.3.2 测定步骤</w:t>
      </w:r>
    </w:p>
    <w:p w14:paraId="70430642">
      <w:pPr>
        <w:keepLines w:val="0"/>
        <w:pageBreakBefore w:val="0"/>
        <w:widowControl/>
        <w:kinsoku w:val="0"/>
        <w:wordWrap/>
        <w:overflowPunct/>
        <w:topLinePunct w:val="0"/>
        <w:autoSpaceDE w:val="0"/>
        <w:autoSpaceDN w:val="0"/>
        <w:bidi w:val="0"/>
        <w:adjustRightInd w:val="0"/>
        <w:snapToGrid w:val="0"/>
        <w:spacing w:line="360" w:lineRule="auto"/>
        <w:jc w:val="left"/>
        <w:textAlignment w:val="baseline"/>
        <w:outlineLvl w:val="0"/>
        <w:rPr>
          <w:rFonts w:ascii="Times New Roman" w:hAnsi="Times New Roman" w:eastAsia="宋体" w:cs="Times New Roman"/>
          <w:snapToGrid w:val="0"/>
          <w:kern w:val="0"/>
          <w:sz w:val="24"/>
          <w:szCs w:val="24"/>
        </w:rPr>
      </w:pPr>
      <w:r>
        <w:rPr>
          <w:rFonts w:hint="eastAsia" w:ascii="Times New Roman" w:hAnsi="Times New Roman" w:eastAsia="宋体" w:cs="Times New Roman"/>
          <w:kern w:val="2"/>
          <w:sz w:val="24"/>
          <w:szCs w:val="24"/>
          <w:lang w:val="en-US" w:eastAsia="zh-CN" w:bidi="ar-SA"/>
        </w:rPr>
        <w:t>（1）土壤培养及取样</w:t>
      </w:r>
    </w:p>
    <w:p w14:paraId="1D1939CB">
      <w:pPr>
        <w:keepLines w:val="0"/>
        <w:pageBreakBefore w:val="0"/>
        <w:widowControl/>
        <w:kinsoku w:val="0"/>
        <w:wordWrap/>
        <w:overflowPunct/>
        <w:topLinePunct w:val="0"/>
        <w:autoSpaceDE w:val="0"/>
        <w:autoSpaceDN w:val="0"/>
        <w:bidi w:val="0"/>
        <w:adjustRightInd w:val="0"/>
        <w:snapToGrid w:val="0"/>
        <w:spacing w:line="360" w:lineRule="auto"/>
        <w:ind w:firstLine="456" w:firstLineChars="200"/>
        <w:jc w:val="left"/>
        <w:textAlignment w:val="baseline"/>
        <w:rPr>
          <w:rFonts w:ascii="Times New Roman" w:hAnsi="Times New Roman" w:eastAsia="宋体" w:cs="Times New Roman"/>
          <w:snapToGrid w:val="0"/>
          <w:color w:val="FF0000"/>
          <w:spacing w:val="-6"/>
          <w:kern w:val="0"/>
          <w:sz w:val="24"/>
          <w:szCs w:val="24"/>
        </w:rPr>
      </w:pPr>
      <w:r>
        <w:rPr>
          <w:rFonts w:ascii="Times New Roman" w:hAnsi="Times New Roman" w:eastAsia="宋体" w:cs="Times New Roman"/>
          <w:snapToGrid w:val="0"/>
          <w:color w:val="FF0000"/>
          <w:spacing w:val="-6"/>
          <w:kern w:val="0"/>
          <w:sz w:val="24"/>
          <w:szCs w:val="24"/>
        </w:rPr>
        <w:t>称取</w:t>
      </w:r>
      <w:r>
        <w:rPr>
          <w:rFonts w:ascii="Times New Roman" w:hAnsi="Times New Roman" w:eastAsia="宋体" w:cs="Times New Roman"/>
          <w:b/>
          <w:snapToGrid w:val="0"/>
          <w:color w:val="FF0000"/>
          <w:spacing w:val="-6"/>
          <w:kern w:val="0"/>
          <w:sz w:val="24"/>
          <w:szCs w:val="24"/>
        </w:rPr>
        <w:t>6份</w:t>
      </w:r>
      <w:r>
        <w:rPr>
          <w:rFonts w:ascii="Times New Roman" w:hAnsi="Times New Roman" w:eastAsia="宋体" w:cs="Times New Roman"/>
          <w:snapToGrid w:val="0"/>
          <w:color w:val="FF0000"/>
          <w:spacing w:val="-6"/>
          <w:kern w:val="0"/>
          <w:sz w:val="24"/>
          <w:szCs w:val="24"/>
        </w:rPr>
        <w:t>5.00 g过2 mm筛的土样分别置于培养容器中，然后分别加入20 ml 肥料工作液肥料溶液（0.28 mg左右的氮），同时加入0.20 ml 氯酸钠溶液（1.5 mol/L）阻止生成的亚硝态氮氧化成硝态氮，混匀后盖盖，其中的</w:t>
      </w:r>
      <w:r>
        <w:rPr>
          <w:rFonts w:ascii="Times New Roman" w:hAnsi="Times New Roman" w:eastAsia="宋体" w:cs="Times New Roman"/>
          <w:b/>
          <w:snapToGrid w:val="0"/>
          <w:color w:val="FF0000"/>
          <w:spacing w:val="-6"/>
          <w:kern w:val="0"/>
          <w:sz w:val="24"/>
          <w:szCs w:val="24"/>
        </w:rPr>
        <w:t>4份</w:t>
      </w:r>
      <w:r>
        <w:rPr>
          <w:rFonts w:ascii="Times New Roman" w:hAnsi="Times New Roman" w:eastAsia="宋体" w:cs="Times New Roman"/>
          <w:snapToGrid w:val="0"/>
          <w:color w:val="FF0000"/>
          <w:spacing w:val="-6"/>
          <w:kern w:val="0"/>
          <w:sz w:val="24"/>
          <w:szCs w:val="24"/>
        </w:rPr>
        <w:t>置于25 ℃震荡5h，另外</w:t>
      </w:r>
      <w:r>
        <w:rPr>
          <w:rFonts w:ascii="Times New Roman" w:hAnsi="Times New Roman" w:eastAsia="宋体" w:cs="Times New Roman"/>
          <w:b/>
          <w:snapToGrid w:val="0"/>
          <w:color w:val="FF0000"/>
          <w:spacing w:val="-6"/>
          <w:kern w:val="0"/>
          <w:sz w:val="24"/>
          <w:szCs w:val="24"/>
        </w:rPr>
        <w:t>2份</w:t>
      </w:r>
      <w:r>
        <w:rPr>
          <w:rFonts w:ascii="Times New Roman" w:hAnsi="Times New Roman" w:eastAsia="宋体" w:cs="Times New Roman"/>
          <w:snapToGrid w:val="0"/>
          <w:color w:val="FF0000"/>
          <w:spacing w:val="-6"/>
          <w:kern w:val="0"/>
          <w:sz w:val="24"/>
          <w:szCs w:val="24"/>
        </w:rPr>
        <w:t>在-20℃冷冻5h。培养结束后（冷冻的样本需要融化），加入5ml氯化钾溶液（2 mol/L），混匀后过滤，获得滤液待测。</w:t>
      </w:r>
    </w:p>
    <w:p w14:paraId="2AB151F0">
      <w:pPr>
        <w:keepLines w:val="0"/>
        <w:pageBreakBefore w:val="0"/>
        <w:widowControl/>
        <w:kinsoku w:val="0"/>
        <w:wordWrap/>
        <w:overflowPunct/>
        <w:topLinePunct w:val="0"/>
        <w:autoSpaceDE w:val="0"/>
        <w:autoSpaceDN w:val="0"/>
        <w:bidi w:val="0"/>
        <w:adjustRightInd w:val="0"/>
        <w:snapToGrid w:val="0"/>
        <w:spacing w:line="360" w:lineRule="auto"/>
        <w:jc w:val="left"/>
        <w:textAlignment w:val="baseline"/>
        <w:outlineLvl w:val="0"/>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（2）亚硝态氮系列标准曲线溶液的制定含量的测定</w:t>
      </w:r>
    </w:p>
    <w:p w14:paraId="4114E88A">
      <w:pPr>
        <w:keepLines w:val="0"/>
        <w:pageBreakBefore w:val="0"/>
        <w:wordWrap/>
        <w:overflowPunct/>
        <w:topLinePunct w:val="0"/>
        <w:bidi w:val="0"/>
        <w:spacing w:line="360" w:lineRule="auto"/>
        <w:ind w:firstLine="480" w:firstLineChars="200"/>
        <w:rPr>
          <w:rFonts w:ascii="Times New Roman" w:hAnsi="Times New Roman" w:eastAsia="宋体" w:cs="Times New Roman"/>
          <w:b w:val="0"/>
          <w:bCs/>
          <w:sz w:val="24"/>
          <w:szCs w:val="24"/>
        </w:rPr>
      </w:pPr>
      <w:r>
        <w:rPr>
          <w:rFonts w:ascii="Times New Roman" w:hAnsi="Times New Roman" w:eastAsia="宋体" w:cs="Times New Roman"/>
          <w:sz w:val="24"/>
          <w:szCs w:val="24"/>
        </w:rPr>
        <w:t>分别吸取0、2、4、6、8、10ml的10 mg NO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vertAlign w:val="superscript"/>
        </w:rPr>
        <w:t>-</w:t>
      </w:r>
      <w:r>
        <w:rPr>
          <w:rFonts w:ascii="Times New Roman" w:hAnsi="Times New Roman" w:eastAsia="宋体" w:cs="Times New Roman"/>
          <w:sz w:val="24"/>
          <w:szCs w:val="24"/>
        </w:rPr>
        <w:t>-N/L标准液体于100ml容量瓶中，加入20ml的KCl溶液，用蒸馏水定容，获得亚硝态氮含量分别为0、0.2、0.4、0.6、0.8、1 mgNO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vertAlign w:val="superscript"/>
        </w:rPr>
        <w:t>-</w:t>
      </w:r>
      <w:r>
        <w:rPr>
          <w:rFonts w:ascii="Times New Roman" w:hAnsi="Times New Roman" w:eastAsia="宋体" w:cs="Times New Roman"/>
          <w:sz w:val="24"/>
          <w:szCs w:val="24"/>
        </w:rPr>
        <w:t>-N/L</w:t>
      </w:r>
      <w:r>
        <w:rPr>
          <w:rFonts w:ascii="Times New Roman" w:hAnsi="Times New Roman" w:eastAsia="宋体" w:cs="Times New Roman"/>
          <w:b w:val="0"/>
          <w:bCs/>
          <w:sz w:val="24"/>
          <w:szCs w:val="24"/>
        </w:rPr>
        <w:t>标准系列溶液。</w:t>
      </w:r>
    </w:p>
    <w:p w14:paraId="1C8CA9EF">
      <w:pPr>
        <w:keepLines w:val="0"/>
        <w:pageBreakBefore w:val="0"/>
        <w:widowControl/>
        <w:kinsoku w:val="0"/>
        <w:wordWrap/>
        <w:overflowPunct/>
        <w:topLinePunct w:val="0"/>
        <w:autoSpaceDE w:val="0"/>
        <w:autoSpaceDN w:val="0"/>
        <w:bidi w:val="0"/>
        <w:adjustRightInd w:val="0"/>
        <w:snapToGrid w:val="0"/>
        <w:spacing w:line="360" w:lineRule="auto"/>
        <w:jc w:val="left"/>
        <w:textAlignment w:val="baseline"/>
        <w:outlineLvl w:val="0"/>
        <w:rPr>
          <w:rFonts w:ascii="Times New Roman" w:hAnsi="Times New Roman" w:eastAsia="宋体" w:cs="Times New Roman"/>
          <w:snapToGrid w:val="0"/>
          <w:kern w:val="0"/>
          <w:sz w:val="24"/>
          <w:szCs w:val="24"/>
        </w:rPr>
      </w:pPr>
      <w:r>
        <w:rPr>
          <w:rFonts w:hint="eastAsia" w:ascii="Times New Roman" w:hAnsi="Times New Roman" w:eastAsia="宋体" w:cs="Times New Roman"/>
          <w:kern w:val="2"/>
          <w:sz w:val="24"/>
          <w:szCs w:val="24"/>
          <w:lang w:val="en-US" w:eastAsia="zh-CN" w:bidi="ar-SA"/>
        </w:rPr>
        <w:t>（3）</w:t>
      </w:r>
      <w:r>
        <w:rPr>
          <w:rFonts w:hint="eastAsia" w:ascii="Times New Roman" w:hAnsi="Times New Roman" w:eastAsia="宋体" w:cs="Times New Roman"/>
          <w:b w:val="0"/>
          <w:bCs/>
          <w:kern w:val="2"/>
          <w:sz w:val="24"/>
          <w:szCs w:val="24"/>
          <w:lang w:val="en-US" w:eastAsia="zh-CN" w:bidi="ar-SA"/>
        </w:rPr>
        <w:t>溶液中亚硝态氮含量</w:t>
      </w:r>
      <w:r>
        <w:rPr>
          <w:rFonts w:hint="eastAsia" w:ascii="Times New Roman" w:hAnsi="Times New Roman" w:eastAsia="宋体" w:cs="Times New Roman"/>
          <w:kern w:val="2"/>
          <w:sz w:val="24"/>
          <w:szCs w:val="24"/>
          <w:lang w:val="en-US" w:eastAsia="zh-CN" w:bidi="ar-SA"/>
        </w:rPr>
        <w:t>的测定</w:t>
      </w:r>
    </w:p>
    <w:p w14:paraId="1878F87A">
      <w:pPr>
        <w:keepLines w:val="0"/>
        <w:pageBreakBefore w:val="0"/>
        <w:wordWrap/>
        <w:overflowPunct/>
        <w:topLinePunct w:val="0"/>
        <w:bidi w:val="0"/>
        <w:spacing w:line="360" w:lineRule="auto"/>
        <w:ind w:firstLine="240" w:firstLineChars="100"/>
        <w:rPr>
          <w:rFonts w:ascii="Times New Roman" w:hAnsi="Times New Roman" w:eastAsia="宋体" w:cs="Times New Roman"/>
          <w:sz w:val="24"/>
          <w:szCs w:val="24"/>
        </w:rPr>
      </w:pPr>
      <w:r>
        <w:rPr>
          <w:rFonts w:ascii="Times New Roman" w:hAnsi="Times New Roman" w:eastAsia="宋体" w:cs="Times New Roman"/>
          <w:sz w:val="24"/>
          <w:szCs w:val="24"/>
        </w:rPr>
        <w:t>分别准确吸取标准曲线系列溶液和过滤液5ml放于10ml具塞试管中，再加入3ml氯化铵缓冲液，混匀后加2ml显色剂，混匀放置15分钟后，在紫外分光光度540nm处比色。</w:t>
      </w:r>
    </w:p>
    <w:p w14:paraId="40A654D9">
      <w:pPr>
        <w:keepLines w:val="0"/>
        <w:pageBreakBefore w:val="0"/>
        <w:widowControl/>
        <w:kinsoku w:val="0"/>
        <w:wordWrap/>
        <w:overflowPunct/>
        <w:topLinePunct w:val="0"/>
        <w:autoSpaceDE w:val="0"/>
        <w:autoSpaceDN w:val="0"/>
        <w:bidi w:val="0"/>
        <w:adjustRightInd w:val="0"/>
        <w:snapToGrid w:val="0"/>
        <w:spacing w:line="360" w:lineRule="auto"/>
        <w:jc w:val="left"/>
        <w:textAlignment w:val="baseline"/>
        <w:outlineLvl w:val="0"/>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1.1.3.3 结果的计算和表述</w:t>
      </w:r>
    </w:p>
    <w:p w14:paraId="57D21B4D">
      <w:pPr>
        <w:keepLines w:val="0"/>
        <w:pageBreakBefore w:val="0"/>
        <w:widowControl/>
        <w:kinsoku w:val="0"/>
        <w:wordWrap/>
        <w:overflowPunct/>
        <w:topLinePunct w:val="0"/>
        <w:autoSpaceDE w:val="0"/>
        <w:autoSpaceDN w:val="0"/>
        <w:bidi w:val="0"/>
        <w:adjustRightInd w:val="0"/>
        <w:snapToGrid w:val="0"/>
        <w:spacing w:line="360" w:lineRule="auto"/>
        <w:jc w:val="left"/>
        <w:textAlignment w:val="baseline"/>
        <w:outlineLvl w:val="0"/>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（1）亚硝态氮含量的计算</w:t>
      </w:r>
    </w:p>
    <w:p w14:paraId="5352E5BB">
      <w:pPr>
        <w:keepLines w:val="0"/>
        <w:pageBreakBefore w:val="0"/>
        <w:widowControl/>
        <w:kinsoku w:val="0"/>
        <w:wordWrap/>
        <w:overflowPunct/>
        <w:topLinePunct w:val="0"/>
        <w:autoSpaceDE w:val="0"/>
        <w:autoSpaceDN w:val="0"/>
        <w:bidi w:val="0"/>
        <w:adjustRightInd w:val="0"/>
        <w:snapToGrid w:val="0"/>
        <w:spacing w:line="360" w:lineRule="auto"/>
        <w:ind w:firstLine="468" w:firstLineChars="200"/>
        <w:jc w:val="left"/>
        <w:textAlignment w:val="baseline"/>
        <w:rPr>
          <w:rFonts w:ascii="Times New Roman" w:hAnsi="Times New Roman" w:eastAsia="宋体" w:cs="Times New Roman"/>
          <w:snapToGrid w:val="0"/>
          <w:spacing w:val="-3"/>
          <w:kern w:val="0"/>
          <w:sz w:val="24"/>
          <w:szCs w:val="24"/>
        </w:rPr>
      </w:pPr>
      <w:r>
        <w:rPr>
          <w:rFonts w:ascii="Times New Roman" w:hAnsi="Times New Roman" w:eastAsia="宋体" w:cs="Times New Roman"/>
          <w:snapToGrid w:val="0"/>
          <w:spacing w:val="-3"/>
          <w:kern w:val="0"/>
          <w:sz w:val="24"/>
          <w:szCs w:val="24"/>
        </w:rPr>
        <w:t>从标准曲线上查得待测液的亚硝态氮含量后，按式（2）计算土壤中亚硝态氮的含量w,</w:t>
      </w:r>
      <w:r>
        <w:rPr>
          <w:rFonts w:ascii="Times New Roman" w:hAnsi="Times New Roman" w:eastAsia="宋体" w:cs="Times New Roman"/>
          <w:snapToGrid w:val="0"/>
          <w:spacing w:val="-11"/>
          <w:kern w:val="0"/>
          <w:sz w:val="24"/>
          <w:szCs w:val="24"/>
        </w:rPr>
        <w:t xml:space="preserve"> 单位是</w:t>
      </w:r>
      <w:r>
        <w:rPr>
          <w:rFonts w:ascii="Times New Roman" w:hAnsi="Times New Roman" w:eastAsia="宋体" w:cs="Times New Roman"/>
          <w:snapToGrid w:val="0"/>
          <w:spacing w:val="-3"/>
          <w:kern w:val="0"/>
          <w:sz w:val="24"/>
          <w:szCs w:val="24"/>
        </w:rPr>
        <w:t>毫克每千克：</w:t>
      </w:r>
    </w:p>
    <w:p w14:paraId="0EFB25C5">
      <w:pPr>
        <w:keepLines w:val="0"/>
        <w:pageBreakBefore w:val="0"/>
        <w:widowControl/>
        <w:kinsoku w:val="0"/>
        <w:wordWrap/>
        <w:overflowPunct/>
        <w:topLinePunct w:val="0"/>
        <w:autoSpaceDE w:val="0"/>
        <w:autoSpaceDN w:val="0"/>
        <w:bidi w:val="0"/>
        <w:adjustRightInd w:val="0"/>
        <w:snapToGrid w:val="0"/>
        <w:spacing w:line="360" w:lineRule="auto"/>
        <w:ind w:firstLine="468" w:firstLineChars="200"/>
        <w:jc w:val="left"/>
        <w:textAlignment w:val="baseline"/>
        <w:rPr>
          <w:rFonts w:ascii="Times New Roman" w:hAnsi="Times New Roman" w:eastAsia="宋体" w:cs="Times New Roman"/>
          <w:snapToGrid w:val="0"/>
          <w:kern w:val="0"/>
          <w:sz w:val="24"/>
          <w:szCs w:val="24"/>
        </w:rPr>
      </w:pPr>
      <w:r>
        <w:rPr>
          <w:rFonts w:ascii="Times New Roman" w:hAnsi="Times New Roman" w:eastAsia="宋体" w:cs="Times New Roman"/>
          <w:snapToGrid w:val="0"/>
          <w:spacing w:val="-3"/>
          <w:kern w:val="0"/>
          <w:sz w:val="24"/>
          <w:szCs w:val="24"/>
        </w:rPr>
        <w:t>土壤亚硝态氮含量（mg/kg）=</w:t>
      </w:r>
      <m:oMath>
        <m:r>
          <m:rPr>
            <m:sty m:val="p"/>
          </m:rPr>
          <w:rPr>
            <w:rFonts w:ascii="Cambria Math" w:hAnsi="Cambria Math" w:eastAsia="宋体" w:cs="Times New Roman"/>
            <w:snapToGrid w:val="0"/>
            <w:spacing w:val="-3"/>
            <w:kern w:val="0"/>
            <w:sz w:val="24"/>
            <w:szCs w:val="24"/>
          </w:rPr>
          <m:t>p</m:t>
        </m:r>
        <m:r>
          <m:rPr/>
          <w:rPr>
            <w:rFonts w:ascii="Cambria Math" w:hAnsi="Cambria Math" w:eastAsia="宋体" w:cs="Times New Roman"/>
            <w:snapToGrid w:val="0"/>
            <w:spacing w:val="-1"/>
            <w:kern w:val="0"/>
            <w:sz w:val="24"/>
            <w:szCs w:val="24"/>
          </w:rPr>
          <m:t>×</m:t>
        </m:r>
        <m:f>
          <m:fPr>
            <m:ctrlPr>
              <w:rPr>
                <w:rFonts w:ascii="Cambria Math" w:hAnsi="Cambria Math" w:eastAsia="宋体" w:cs="Times New Roman"/>
                <w:i/>
                <w:snapToGrid w:val="0"/>
                <w:spacing w:val="-1"/>
                <w:kern w:val="0"/>
                <w:sz w:val="24"/>
                <w:szCs w:val="24"/>
              </w:rPr>
            </m:ctrlPr>
          </m:fPr>
          <m:num>
            <m:r>
              <m:rPr/>
              <w:rPr>
                <w:rFonts w:ascii="Cambria Math" w:hAnsi="Cambria Math" w:eastAsia="宋体" w:cs="Times New Roman"/>
                <w:snapToGrid w:val="0"/>
                <w:spacing w:val="-1"/>
                <w:kern w:val="0"/>
                <w:sz w:val="24"/>
                <w:szCs w:val="24"/>
              </w:rPr>
              <m:t>V</m:t>
            </m:r>
            <m:ctrlPr>
              <w:rPr>
                <w:rFonts w:ascii="Cambria Math" w:hAnsi="Cambria Math" w:eastAsia="宋体" w:cs="Times New Roman"/>
                <w:i/>
                <w:snapToGrid w:val="0"/>
                <w:spacing w:val="-1"/>
                <w:kern w:val="0"/>
                <w:sz w:val="24"/>
                <w:szCs w:val="24"/>
              </w:rPr>
            </m:ctrlPr>
          </m:num>
          <m:den>
            <m:r>
              <m:rPr/>
              <w:rPr>
                <w:rFonts w:ascii="Cambria Math" w:hAnsi="Cambria Math" w:eastAsia="宋体" w:cs="Times New Roman"/>
                <w:snapToGrid w:val="0"/>
                <w:spacing w:val="-1"/>
                <w:kern w:val="0"/>
                <w:sz w:val="24"/>
                <w:szCs w:val="24"/>
              </w:rPr>
              <m:t>m</m:t>
            </m:r>
            <m:ctrlPr>
              <w:rPr>
                <w:rFonts w:ascii="Cambria Math" w:hAnsi="Cambria Math" w:eastAsia="宋体" w:cs="Times New Roman"/>
                <w:i/>
                <w:snapToGrid w:val="0"/>
                <w:spacing w:val="-1"/>
                <w:kern w:val="0"/>
                <w:sz w:val="24"/>
                <w:szCs w:val="24"/>
              </w:rPr>
            </m:ctrlPr>
          </m:den>
        </m:f>
        <m:r>
          <m:rPr/>
          <w:rPr>
            <w:rFonts w:ascii="Cambria Math" w:hAnsi="Cambria Math" w:eastAsia="宋体" w:cs="Times New Roman"/>
            <w:snapToGrid w:val="0"/>
            <w:spacing w:val="-1"/>
            <w:kern w:val="0"/>
            <w:sz w:val="24"/>
            <w:szCs w:val="24"/>
          </w:rPr>
          <m:t>×</m:t>
        </m:r>
        <m:f>
          <m:fPr>
            <m:ctrlPr>
              <w:rPr>
                <w:rFonts w:ascii="Cambria Math" w:hAnsi="Cambria Math" w:eastAsia="宋体" w:cs="Times New Roman"/>
                <w:i/>
                <w:snapToGrid w:val="0"/>
                <w:spacing w:val="-1"/>
                <w:kern w:val="0"/>
                <w:sz w:val="24"/>
                <w:szCs w:val="24"/>
              </w:rPr>
            </m:ctrlPr>
          </m:fPr>
          <m:num>
            <m:r>
              <m:rPr/>
              <w:rPr>
                <w:rFonts w:ascii="Cambria Math" w:hAnsi="Cambria Math" w:eastAsia="宋体" w:cs="Times New Roman"/>
                <w:snapToGrid w:val="0"/>
                <w:spacing w:val="-1"/>
                <w:kern w:val="0"/>
                <w:sz w:val="24"/>
                <w:szCs w:val="24"/>
              </w:rPr>
              <m:t>V2</m:t>
            </m:r>
            <m:ctrlPr>
              <w:rPr>
                <w:rFonts w:ascii="Cambria Math" w:hAnsi="Cambria Math" w:eastAsia="宋体" w:cs="Times New Roman"/>
                <w:i/>
                <w:snapToGrid w:val="0"/>
                <w:spacing w:val="-1"/>
                <w:kern w:val="0"/>
                <w:sz w:val="24"/>
                <w:szCs w:val="24"/>
              </w:rPr>
            </m:ctrlPr>
          </m:num>
          <m:den>
            <m:r>
              <m:rPr/>
              <w:rPr>
                <w:rFonts w:ascii="Cambria Math" w:hAnsi="Cambria Math" w:eastAsia="宋体" w:cs="Times New Roman"/>
                <w:snapToGrid w:val="0"/>
                <w:spacing w:val="-1"/>
                <w:kern w:val="0"/>
                <w:sz w:val="24"/>
                <w:szCs w:val="24"/>
              </w:rPr>
              <m:t>V1</m:t>
            </m:r>
            <m:ctrlPr>
              <w:rPr>
                <w:rFonts w:ascii="Cambria Math" w:hAnsi="Cambria Math" w:eastAsia="宋体" w:cs="Times New Roman"/>
                <w:i/>
                <w:snapToGrid w:val="0"/>
                <w:spacing w:val="-1"/>
                <w:kern w:val="0"/>
                <w:sz w:val="24"/>
                <w:szCs w:val="24"/>
              </w:rPr>
            </m:ctrlPr>
          </m:den>
        </m:f>
        <m:r>
          <m:rPr/>
          <w:rPr>
            <w:rFonts w:ascii="Cambria Math" w:hAnsi="Cambria Math" w:eastAsia="宋体" w:cs="Times New Roman"/>
            <w:snapToGrid w:val="0"/>
            <w:spacing w:val="-1"/>
            <w:kern w:val="0"/>
            <w:sz w:val="24"/>
            <w:szCs w:val="24"/>
          </w:rPr>
          <m:t>×</m:t>
        </m:r>
        <m:r>
          <m:rPr>
            <m:sty m:val="p"/>
          </m:rPr>
          <w:rPr>
            <w:rFonts w:hint="eastAsia" w:ascii="Cambria Math" w:hAnsi="Cambria Math" w:eastAsia="宋体" w:cs="Times New Roman"/>
            <w:snapToGrid w:val="0"/>
            <w:spacing w:val="-1"/>
            <w:kern w:val="0"/>
            <w:sz w:val="24"/>
            <w:szCs w:val="24"/>
          </w:rPr>
          <m:t>（</m:t>
        </m:r>
        <m:r>
          <m:rPr/>
          <w:rPr>
            <w:rFonts w:ascii="Cambria Math" w:hAnsi="Cambria Math" w:eastAsia="宋体" w:cs="Times New Roman"/>
            <w:snapToGrid w:val="0"/>
            <w:spacing w:val="-1"/>
            <w:kern w:val="0"/>
            <w:sz w:val="24"/>
            <w:szCs w:val="24"/>
          </w:rPr>
          <m:t>1+</m:t>
        </m:r>
        <m:f>
          <m:fPr>
            <m:ctrlPr>
              <w:rPr>
                <w:rFonts w:ascii="Cambria Math" w:hAnsi="Cambria Math" w:eastAsia="宋体" w:cs="Times New Roman"/>
                <w:i/>
                <w:snapToGrid w:val="0"/>
                <w:spacing w:val="-1"/>
                <w:kern w:val="0"/>
                <w:sz w:val="24"/>
                <w:szCs w:val="24"/>
              </w:rPr>
            </m:ctrlPr>
          </m:fPr>
          <m:num>
            <m:r>
              <m:rPr/>
              <w:rPr>
                <w:rFonts w:hint="eastAsia" w:ascii="Cambria Math" w:hAnsi="Cambria Math" w:eastAsia="宋体" w:cs="Times New Roman"/>
                <w:snapToGrid w:val="0"/>
                <w:spacing w:val="-1"/>
                <w:kern w:val="0"/>
                <w:sz w:val="24"/>
                <w:szCs w:val="24"/>
              </w:rPr>
              <m:t>w</m:t>
            </m:r>
            <m:ctrlPr>
              <w:rPr>
                <w:rFonts w:ascii="Cambria Math" w:hAnsi="Cambria Math" w:eastAsia="宋体" w:cs="Times New Roman"/>
                <w:i/>
                <w:snapToGrid w:val="0"/>
                <w:spacing w:val="-1"/>
                <w:kern w:val="0"/>
                <w:sz w:val="24"/>
                <w:szCs w:val="24"/>
              </w:rPr>
            </m:ctrlPr>
          </m:num>
          <m:den>
            <m:r>
              <m:rPr/>
              <w:rPr>
                <w:rFonts w:ascii="Cambria Math" w:hAnsi="Cambria Math" w:eastAsia="宋体" w:cs="Times New Roman"/>
                <w:snapToGrid w:val="0"/>
                <w:spacing w:val="-1"/>
                <w:kern w:val="0"/>
                <w:sz w:val="24"/>
                <w:szCs w:val="24"/>
              </w:rPr>
              <m:t>100</m:t>
            </m:r>
            <m:ctrlPr>
              <w:rPr>
                <w:rFonts w:ascii="Cambria Math" w:hAnsi="Cambria Math" w:eastAsia="宋体" w:cs="Times New Roman"/>
                <w:i/>
                <w:snapToGrid w:val="0"/>
                <w:spacing w:val="-1"/>
                <w:kern w:val="0"/>
                <w:sz w:val="24"/>
                <w:szCs w:val="24"/>
              </w:rPr>
            </m:ctrlPr>
          </m:den>
        </m:f>
      </m:oMath>
      <w:r>
        <w:rPr>
          <w:rFonts w:hint="eastAsia" w:ascii="Times New Roman" w:hAnsi="Times New Roman" w:eastAsia="宋体" w:cs="Times New Roman"/>
          <w:snapToGrid w:val="0"/>
          <w:spacing w:val="-1"/>
          <w:kern w:val="0"/>
          <w:sz w:val="24"/>
          <w:szCs w:val="24"/>
        </w:rPr>
        <w:t>）</w:t>
      </w:r>
      <w:r>
        <w:rPr>
          <w:rFonts w:ascii="Times New Roman" w:hAnsi="Times New Roman" w:eastAsia="宋体" w:cs="Times New Roman"/>
          <w:snapToGrid w:val="0"/>
          <w:spacing w:val="-3"/>
          <w:kern w:val="0"/>
          <w:sz w:val="24"/>
          <w:szCs w:val="24"/>
        </w:rPr>
        <w:t xml:space="preserve"> …………</w:t>
      </w:r>
      <w:r>
        <w:rPr>
          <w:rFonts w:ascii="Times New Roman" w:hAnsi="Times New Roman" w:eastAsia="宋体" w:cs="Times New Roman"/>
          <w:snapToGrid w:val="0"/>
          <w:spacing w:val="-56"/>
          <w:kern w:val="0"/>
          <w:sz w:val="24"/>
          <w:szCs w:val="24"/>
        </w:rPr>
        <w:t xml:space="preserve"> </w:t>
      </w:r>
      <w:r>
        <w:rPr>
          <w:rFonts w:ascii="Times New Roman" w:hAnsi="Times New Roman" w:eastAsia="宋体" w:cs="Times New Roman"/>
          <w:snapToGrid w:val="0"/>
          <w:spacing w:val="-15"/>
          <w:kern w:val="0"/>
          <w:sz w:val="24"/>
          <w:szCs w:val="24"/>
        </w:rPr>
        <w:t>(</w:t>
      </w:r>
      <w:r>
        <w:rPr>
          <w:sz w:val="24"/>
          <w:szCs w:val="24"/>
        </w:rPr>
        <w:fldChar w:fldCharType="begin"/>
      </w:r>
      <w:r>
        <w:rPr>
          <w:sz w:val="24"/>
          <w:szCs w:val="24"/>
        </w:rPr>
        <w:instrText xml:space="preserve"> HYPERLINK \l "_bookmark3" </w:instrText>
      </w:r>
      <w:r>
        <w:rPr>
          <w:sz w:val="24"/>
          <w:szCs w:val="24"/>
        </w:rPr>
        <w:fldChar w:fldCharType="separate"/>
      </w:r>
      <w:r>
        <w:rPr>
          <w:rFonts w:ascii="Times New Roman" w:hAnsi="Times New Roman" w:eastAsia="宋体" w:cs="Times New Roman"/>
          <w:snapToGrid w:val="0"/>
          <w:spacing w:val="-15"/>
          <w:kern w:val="0"/>
          <w:sz w:val="24"/>
          <w:szCs w:val="24"/>
        </w:rPr>
        <w:t>2)</w:t>
      </w:r>
      <w:r>
        <w:rPr>
          <w:rFonts w:ascii="Times New Roman" w:hAnsi="Times New Roman" w:eastAsia="宋体" w:cs="Times New Roman"/>
          <w:snapToGrid w:val="0"/>
          <w:spacing w:val="-15"/>
          <w:kern w:val="0"/>
          <w:sz w:val="24"/>
          <w:szCs w:val="24"/>
        </w:rPr>
        <w:fldChar w:fldCharType="end"/>
      </w:r>
    </w:p>
    <w:p w14:paraId="0B4A5F1A">
      <w:pPr>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ascii="Times New Roman" w:hAnsi="Times New Roman" w:eastAsia="宋体" w:cs="Times New Roman"/>
          <w:snapToGrid w:val="0"/>
          <w:kern w:val="0"/>
          <w:sz w:val="24"/>
          <w:szCs w:val="24"/>
        </w:rPr>
      </w:pPr>
    </w:p>
    <w:p w14:paraId="1309E412">
      <w:pPr>
        <w:keepLines w:val="0"/>
        <w:pageBreakBefore w:val="0"/>
        <w:widowControl/>
        <w:kinsoku w:val="0"/>
        <w:wordWrap/>
        <w:overflowPunct/>
        <w:topLinePunct w:val="0"/>
        <w:autoSpaceDE w:val="0"/>
        <w:autoSpaceDN w:val="0"/>
        <w:bidi w:val="0"/>
        <w:adjustRightInd w:val="0"/>
        <w:snapToGrid w:val="0"/>
        <w:spacing w:line="360" w:lineRule="auto"/>
        <w:ind w:firstLine="456" w:firstLineChars="200"/>
        <w:jc w:val="left"/>
        <w:textAlignment w:val="baseline"/>
        <w:rPr>
          <w:rFonts w:ascii="Times New Roman" w:hAnsi="Times New Roman" w:eastAsia="宋体" w:cs="Times New Roman"/>
          <w:snapToGrid w:val="0"/>
          <w:spacing w:val="-6"/>
          <w:kern w:val="0"/>
          <w:sz w:val="24"/>
          <w:szCs w:val="24"/>
        </w:rPr>
      </w:pPr>
      <w:r>
        <w:rPr>
          <w:rFonts w:ascii="Times New Roman" w:hAnsi="Times New Roman" w:eastAsia="宋体" w:cs="Times New Roman"/>
          <w:snapToGrid w:val="0"/>
          <w:spacing w:val="-6"/>
          <w:kern w:val="0"/>
          <w:sz w:val="24"/>
          <w:szCs w:val="24"/>
        </w:rPr>
        <w:t>式中：</w:t>
      </w:r>
    </w:p>
    <w:p w14:paraId="103F8132">
      <w:pPr>
        <w:keepLines w:val="0"/>
        <w:pageBreakBefore w:val="0"/>
        <w:widowControl/>
        <w:kinsoku w:val="0"/>
        <w:wordWrap/>
        <w:overflowPunct/>
        <w:topLinePunct w:val="0"/>
        <w:autoSpaceDE w:val="0"/>
        <w:autoSpaceDN w:val="0"/>
        <w:bidi w:val="0"/>
        <w:adjustRightInd w:val="0"/>
        <w:snapToGrid w:val="0"/>
        <w:spacing w:line="360" w:lineRule="auto"/>
        <w:ind w:firstLine="456" w:firstLineChars="200"/>
        <w:jc w:val="left"/>
        <w:textAlignment w:val="baseline"/>
        <w:rPr>
          <w:rFonts w:ascii="Times New Roman" w:hAnsi="Times New Roman" w:eastAsia="宋体" w:cs="Times New Roman"/>
          <w:snapToGrid w:val="0"/>
          <w:spacing w:val="-6"/>
          <w:kern w:val="0"/>
          <w:sz w:val="24"/>
          <w:szCs w:val="24"/>
        </w:rPr>
      </w:pPr>
      <w:r>
        <w:rPr>
          <w:rFonts w:ascii="Times New Roman" w:hAnsi="Times New Roman" w:eastAsia="宋体" w:cs="Times New Roman"/>
          <w:snapToGrid w:val="0"/>
          <w:spacing w:val="-6"/>
          <w:kern w:val="0"/>
          <w:sz w:val="24"/>
          <w:szCs w:val="24"/>
        </w:rPr>
        <w:t>p—待测液中的亚硝态氮浓度（mg/L）；</w:t>
      </w:r>
    </w:p>
    <w:p w14:paraId="1A08402C">
      <w:pPr>
        <w:keepLines w:val="0"/>
        <w:pageBreakBefore w:val="0"/>
        <w:widowControl/>
        <w:kinsoku w:val="0"/>
        <w:wordWrap/>
        <w:overflowPunct/>
        <w:topLinePunct w:val="0"/>
        <w:autoSpaceDE w:val="0"/>
        <w:autoSpaceDN w:val="0"/>
        <w:bidi w:val="0"/>
        <w:adjustRightInd w:val="0"/>
        <w:snapToGrid w:val="0"/>
        <w:spacing w:line="360" w:lineRule="auto"/>
        <w:ind w:firstLine="456" w:firstLineChars="200"/>
        <w:jc w:val="left"/>
        <w:textAlignment w:val="baseline"/>
        <w:rPr>
          <w:rFonts w:ascii="Times New Roman" w:hAnsi="Times New Roman" w:eastAsia="宋体" w:cs="Times New Roman"/>
          <w:snapToGrid w:val="0"/>
          <w:kern w:val="0"/>
          <w:sz w:val="24"/>
          <w:szCs w:val="24"/>
        </w:rPr>
      </w:pPr>
      <w:r>
        <w:rPr>
          <w:rFonts w:ascii="Times New Roman" w:hAnsi="Times New Roman" w:eastAsia="宋体" w:cs="Times New Roman"/>
          <w:snapToGrid w:val="0"/>
          <w:spacing w:val="-6"/>
          <w:kern w:val="0"/>
          <w:sz w:val="24"/>
          <w:szCs w:val="24"/>
        </w:rPr>
        <w:t>m—土样质量（g）；</w:t>
      </w:r>
    </w:p>
    <w:p w14:paraId="070B2D47">
      <w:pPr>
        <w:keepLines w:val="0"/>
        <w:pageBreakBefore w:val="0"/>
        <w:widowControl/>
        <w:kinsoku w:val="0"/>
        <w:wordWrap/>
        <w:overflowPunct/>
        <w:topLinePunct w:val="0"/>
        <w:autoSpaceDE w:val="0"/>
        <w:autoSpaceDN w:val="0"/>
        <w:bidi w:val="0"/>
        <w:adjustRightInd w:val="0"/>
        <w:snapToGrid w:val="0"/>
        <w:spacing w:line="360" w:lineRule="auto"/>
        <w:ind w:firstLine="456" w:firstLineChars="200"/>
        <w:jc w:val="left"/>
        <w:textAlignment w:val="baseline"/>
        <w:rPr>
          <w:rFonts w:ascii="Times New Roman" w:hAnsi="Times New Roman" w:eastAsia="宋体" w:cs="Times New Roman"/>
          <w:snapToGrid w:val="0"/>
          <w:kern w:val="0"/>
          <w:sz w:val="24"/>
          <w:szCs w:val="24"/>
        </w:rPr>
      </w:pPr>
      <w:r>
        <w:rPr>
          <w:rFonts w:ascii="Times New Roman" w:hAnsi="Times New Roman" w:eastAsia="宋体" w:cs="Times New Roman"/>
          <w:snapToGrid w:val="0"/>
          <w:spacing w:val="-6"/>
          <w:kern w:val="0"/>
          <w:sz w:val="24"/>
          <w:szCs w:val="24"/>
        </w:rPr>
        <w:t>V—样品制备溶液的体积（mL</w:t>
      </w:r>
      <w:r>
        <w:rPr>
          <w:rFonts w:ascii="Times New Roman" w:hAnsi="Times New Roman" w:eastAsia="宋体" w:cs="Times New Roman"/>
          <w:snapToGrid w:val="0"/>
          <w:spacing w:val="-7"/>
          <w:kern w:val="0"/>
          <w:sz w:val="24"/>
          <w:szCs w:val="24"/>
        </w:rPr>
        <w:t>）；</w:t>
      </w:r>
    </w:p>
    <w:p w14:paraId="5DD0D41A">
      <w:pPr>
        <w:keepLines w:val="0"/>
        <w:pageBreakBefore w:val="0"/>
        <w:widowControl/>
        <w:kinsoku w:val="0"/>
        <w:wordWrap/>
        <w:overflowPunct/>
        <w:topLinePunct w:val="0"/>
        <w:autoSpaceDE w:val="0"/>
        <w:autoSpaceDN w:val="0"/>
        <w:bidi w:val="0"/>
        <w:adjustRightInd w:val="0"/>
        <w:snapToGrid w:val="0"/>
        <w:spacing w:line="360" w:lineRule="auto"/>
        <w:ind w:firstLine="456" w:firstLineChars="200"/>
        <w:jc w:val="left"/>
        <w:textAlignment w:val="baseline"/>
        <w:rPr>
          <w:rFonts w:ascii="Times New Roman" w:hAnsi="Times New Roman" w:eastAsia="宋体" w:cs="Times New Roman"/>
          <w:snapToGrid w:val="0"/>
          <w:kern w:val="0"/>
          <w:sz w:val="24"/>
          <w:szCs w:val="24"/>
        </w:rPr>
      </w:pPr>
      <w:r>
        <w:rPr>
          <w:rFonts w:ascii="Times New Roman" w:hAnsi="Times New Roman" w:eastAsia="宋体" w:cs="Times New Roman"/>
          <w:snapToGrid w:val="0"/>
          <w:spacing w:val="-6"/>
          <w:kern w:val="0"/>
          <w:sz w:val="24"/>
          <w:szCs w:val="24"/>
        </w:rPr>
        <w:t>V</w:t>
      </w:r>
      <w:r>
        <w:rPr>
          <w:rFonts w:ascii="Times New Roman" w:hAnsi="Times New Roman" w:eastAsia="宋体" w:cs="Times New Roman"/>
          <w:snapToGrid w:val="0"/>
          <w:spacing w:val="-6"/>
          <w:kern w:val="0"/>
          <w:sz w:val="24"/>
          <w:szCs w:val="24"/>
          <w:vertAlign w:val="subscript"/>
        </w:rPr>
        <w:t>1</w:t>
      </w:r>
      <w:r>
        <w:rPr>
          <w:rFonts w:ascii="Times New Roman" w:hAnsi="Times New Roman" w:eastAsia="宋体" w:cs="Times New Roman"/>
          <w:snapToGrid w:val="0"/>
          <w:spacing w:val="-6"/>
          <w:kern w:val="0"/>
          <w:sz w:val="24"/>
          <w:szCs w:val="24"/>
        </w:rPr>
        <w:t>—吸取的待测液体积（mL</w:t>
      </w:r>
      <w:r>
        <w:rPr>
          <w:rFonts w:ascii="Times New Roman" w:hAnsi="Times New Roman" w:eastAsia="宋体" w:cs="Times New Roman"/>
          <w:snapToGrid w:val="0"/>
          <w:spacing w:val="-7"/>
          <w:kern w:val="0"/>
          <w:sz w:val="24"/>
          <w:szCs w:val="24"/>
        </w:rPr>
        <w:t>）；</w:t>
      </w:r>
    </w:p>
    <w:p w14:paraId="794920F1">
      <w:pPr>
        <w:keepLines w:val="0"/>
        <w:pageBreakBefore w:val="0"/>
        <w:widowControl/>
        <w:kinsoku w:val="0"/>
        <w:wordWrap/>
        <w:overflowPunct/>
        <w:topLinePunct w:val="0"/>
        <w:autoSpaceDE w:val="0"/>
        <w:autoSpaceDN w:val="0"/>
        <w:bidi w:val="0"/>
        <w:adjustRightInd w:val="0"/>
        <w:snapToGrid w:val="0"/>
        <w:spacing w:line="360" w:lineRule="auto"/>
        <w:ind w:firstLine="452" w:firstLineChars="200"/>
        <w:jc w:val="left"/>
        <w:textAlignment w:val="baseline"/>
        <w:rPr>
          <w:rFonts w:ascii="Times New Roman" w:hAnsi="Times New Roman" w:eastAsia="宋体" w:cs="Times New Roman"/>
          <w:snapToGrid w:val="0"/>
          <w:spacing w:val="-7"/>
          <w:kern w:val="0"/>
          <w:sz w:val="24"/>
          <w:szCs w:val="24"/>
        </w:rPr>
      </w:pPr>
      <w:r>
        <w:rPr>
          <w:rFonts w:ascii="Times New Roman" w:hAnsi="Times New Roman" w:eastAsia="宋体" w:cs="Times New Roman"/>
          <w:snapToGrid w:val="0"/>
          <w:spacing w:val="-7"/>
          <w:kern w:val="0"/>
          <w:sz w:val="24"/>
          <w:szCs w:val="24"/>
        </w:rPr>
        <w:t>V</w:t>
      </w:r>
      <w:r>
        <w:rPr>
          <w:rFonts w:ascii="Times New Roman" w:hAnsi="Times New Roman" w:eastAsia="宋体" w:cs="Times New Roman"/>
          <w:snapToGrid w:val="0"/>
          <w:spacing w:val="-7"/>
          <w:kern w:val="0"/>
          <w:sz w:val="24"/>
          <w:szCs w:val="24"/>
          <w:vertAlign w:val="subscript"/>
        </w:rPr>
        <w:t>2</w:t>
      </w:r>
      <w:r>
        <w:rPr>
          <w:rFonts w:ascii="Times New Roman" w:hAnsi="Times New Roman" w:eastAsia="宋体" w:cs="Times New Roman"/>
          <w:snapToGrid w:val="0"/>
          <w:spacing w:val="-7"/>
          <w:kern w:val="0"/>
          <w:sz w:val="24"/>
          <w:szCs w:val="24"/>
        </w:rPr>
        <w:t>—</w:t>
      </w:r>
      <w:r>
        <w:rPr>
          <w:rFonts w:ascii="Times New Roman" w:hAnsi="Times New Roman" w:eastAsia="宋体" w:cs="Times New Roman"/>
          <w:snapToGrid w:val="0"/>
          <w:spacing w:val="-6"/>
          <w:kern w:val="0"/>
          <w:sz w:val="24"/>
          <w:szCs w:val="24"/>
        </w:rPr>
        <w:t>比色溶液溶液的体积（mL</w:t>
      </w:r>
      <w:r>
        <w:rPr>
          <w:rFonts w:ascii="Times New Roman" w:hAnsi="Times New Roman" w:eastAsia="宋体" w:cs="Times New Roman"/>
          <w:snapToGrid w:val="0"/>
          <w:spacing w:val="-7"/>
          <w:kern w:val="0"/>
          <w:sz w:val="24"/>
          <w:szCs w:val="24"/>
        </w:rPr>
        <w:t>）；</w:t>
      </w:r>
    </w:p>
    <w:p w14:paraId="7FC9ACC8">
      <w:pPr>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ascii="Times New Roman" w:hAnsi="Times New Roman" w:eastAsia="宋体" w:cs="Times New Roman"/>
          <w:snapToGrid w:val="0"/>
          <w:kern w:val="0"/>
          <w:sz w:val="24"/>
          <w:szCs w:val="24"/>
        </w:rPr>
      </w:pPr>
      <w:r>
        <w:rPr>
          <w:rFonts w:ascii="Times New Roman" w:hAnsi="Times New Roman" w:eastAsia="宋体" w:cs="Times New Roman"/>
          <w:snapToGrid w:val="0"/>
          <w:kern w:val="0"/>
          <w:position w:val="6"/>
          <w:sz w:val="24"/>
          <w:szCs w:val="24"/>
        </w:rPr>
        <w:t>w —</w:t>
      </w:r>
      <w:r>
        <w:rPr>
          <w:rFonts w:ascii="Times New Roman" w:hAnsi="Times New Roman" w:eastAsia="宋体" w:cs="Times New Roman"/>
          <w:snapToGrid w:val="0"/>
          <w:spacing w:val="-32"/>
          <w:kern w:val="0"/>
          <w:position w:val="6"/>
          <w:sz w:val="24"/>
          <w:szCs w:val="24"/>
        </w:rPr>
        <w:t xml:space="preserve"> </w:t>
      </w:r>
      <w:r>
        <w:rPr>
          <w:rFonts w:ascii="Times New Roman" w:hAnsi="Times New Roman" w:eastAsia="宋体" w:cs="Times New Roman"/>
          <w:snapToGrid w:val="0"/>
          <w:kern w:val="0"/>
          <w:position w:val="6"/>
          <w:sz w:val="24"/>
          <w:szCs w:val="24"/>
        </w:rPr>
        <w:t>土壤的水分（分析基）含量，%,按B.2</w:t>
      </w:r>
      <w:r>
        <w:rPr>
          <w:rFonts w:ascii="Times New Roman" w:hAnsi="Times New Roman" w:eastAsia="宋体" w:cs="Times New Roman"/>
          <w:snapToGrid w:val="0"/>
          <w:spacing w:val="-6"/>
          <w:kern w:val="0"/>
          <w:position w:val="6"/>
          <w:sz w:val="24"/>
          <w:szCs w:val="24"/>
        </w:rPr>
        <w:t xml:space="preserve"> </w:t>
      </w:r>
      <w:r>
        <w:rPr>
          <w:rFonts w:ascii="Times New Roman" w:hAnsi="Times New Roman" w:eastAsia="宋体" w:cs="Times New Roman"/>
          <w:snapToGrid w:val="0"/>
          <w:kern w:val="0"/>
          <w:position w:val="6"/>
          <w:sz w:val="24"/>
          <w:szCs w:val="24"/>
        </w:rPr>
        <w:t>计算。</w:t>
      </w:r>
    </w:p>
    <w:p w14:paraId="5C021FAC">
      <w:pPr>
        <w:keepLines w:val="0"/>
        <w:pageBreakBefore w:val="0"/>
        <w:widowControl/>
        <w:kinsoku w:val="0"/>
        <w:wordWrap/>
        <w:overflowPunct/>
        <w:topLinePunct w:val="0"/>
        <w:autoSpaceDE w:val="0"/>
        <w:autoSpaceDN w:val="0"/>
        <w:bidi w:val="0"/>
        <w:adjustRightInd w:val="0"/>
        <w:snapToGrid w:val="0"/>
        <w:spacing w:line="360" w:lineRule="auto"/>
        <w:ind w:firstLine="464" w:firstLineChars="200"/>
        <w:jc w:val="left"/>
        <w:textAlignment w:val="baseline"/>
        <w:rPr>
          <w:rFonts w:ascii="Times New Roman" w:hAnsi="Times New Roman" w:eastAsia="宋体" w:cs="Times New Roman"/>
          <w:snapToGrid w:val="0"/>
          <w:spacing w:val="-4"/>
          <w:kern w:val="0"/>
          <w:sz w:val="24"/>
          <w:szCs w:val="24"/>
        </w:rPr>
      </w:pPr>
      <w:r>
        <w:rPr>
          <w:rFonts w:ascii="Times New Roman" w:hAnsi="Times New Roman" w:eastAsia="宋体" w:cs="Times New Roman"/>
          <w:snapToGrid w:val="0"/>
          <w:spacing w:val="-4"/>
          <w:kern w:val="0"/>
          <w:sz w:val="24"/>
          <w:szCs w:val="24"/>
        </w:rPr>
        <w:t>取</w:t>
      </w:r>
      <w:r>
        <w:rPr>
          <w:rFonts w:hint="eastAsia" w:ascii="Times New Roman" w:hAnsi="Times New Roman" w:eastAsia="宋体" w:cs="Times New Roman"/>
          <w:snapToGrid w:val="0"/>
          <w:spacing w:val="-4"/>
          <w:kern w:val="0"/>
          <w:sz w:val="24"/>
          <w:szCs w:val="24"/>
        </w:rPr>
        <w:t>四</w:t>
      </w:r>
      <w:r>
        <w:rPr>
          <w:rFonts w:ascii="Times New Roman" w:hAnsi="Times New Roman" w:eastAsia="宋体" w:cs="Times New Roman"/>
          <w:snapToGrid w:val="0"/>
          <w:spacing w:val="-4"/>
          <w:kern w:val="0"/>
          <w:sz w:val="24"/>
          <w:szCs w:val="24"/>
        </w:rPr>
        <w:t>次平行测定结果的算术平均值为测定结果。</w:t>
      </w:r>
    </w:p>
    <w:p w14:paraId="0D678810">
      <w:pPr>
        <w:keepLines w:val="0"/>
        <w:pageBreakBefore w:val="0"/>
        <w:widowControl/>
        <w:kinsoku w:val="0"/>
        <w:wordWrap/>
        <w:overflowPunct/>
        <w:topLinePunct w:val="0"/>
        <w:autoSpaceDE w:val="0"/>
        <w:autoSpaceDN w:val="0"/>
        <w:bidi w:val="0"/>
        <w:adjustRightInd w:val="0"/>
        <w:snapToGrid w:val="0"/>
        <w:spacing w:line="360" w:lineRule="auto"/>
        <w:jc w:val="left"/>
        <w:textAlignment w:val="baseline"/>
        <w:outlineLvl w:val="0"/>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（2）土壤硝化潜势的计算</w:t>
      </w:r>
    </w:p>
    <w:p w14:paraId="185DD335">
      <w:pPr>
        <w:keepLines w:val="0"/>
        <w:pageBreakBefore w:val="0"/>
        <w:widowControl/>
        <w:kinsoku w:val="0"/>
        <w:wordWrap/>
        <w:overflowPunct/>
        <w:topLinePunct w:val="0"/>
        <w:autoSpaceDE w:val="0"/>
        <w:autoSpaceDN w:val="0"/>
        <w:bidi w:val="0"/>
        <w:adjustRightInd w:val="0"/>
        <w:snapToGrid w:val="0"/>
        <w:spacing w:line="360" w:lineRule="auto"/>
        <w:ind w:firstLine="464" w:firstLineChars="200"/>
        <w:jc w:val="left"/>
        <w:textAlignment w:val="baseline"/>
        <w:rPr>
          <w:rFonts w:ascii="Times New Roman" w:hAnsi="Times New Roman" w:eastAsia="宋体" w:cs="Times New Roman"/>
          <w:snapToGrid w:val="0"/>
          <w:spacing w:val="-4"/>
          <w:kern w:val="0"/>
          <w:sz w:val="24"/>
          <w:szCs w:val="24"/>
        </w:rPr>
      </w:pPr>
      <w:r>
        <w:rPr>
          <w:rFonts w:ascii="Times New Roman" w:hAnsi="Times New Roman" w:eastAsia="宋体" w:cs="Times New Roman"/>
          <w:snapToGrid w:val="0"/>
          <w:spacing w:val="-4"/>
          <w:kern w:val="0"/>
          <w:sz w:val="24"/>
          <w:szCs w:val="24"/>
        </w:rPr>
        <w:t>硝化潜力计算按照单位时间内</w:t>
      </w:r>
      <w:r>
        <w:rPr>
          <w:rFonts w:hint="eastAsia" w:ascii="Times New Roman" w:hAnsi="Times New Roman" w:eastAsia="宋体" w:cs="Times New Roman"/>
          <w:snapToGrid w:val="0"/>
          <w:spacing w:val="-4"/>
          <w:kern w:val="0"/>
          <w:sz w:val="24"/>
          <w:szCs w:val="24"/>
          <w:lang w:val="en-US" w:eastAsia="zh-CN"/>
        </w:rPr>
        <w:t>亚硝态氮</w:t>
      </w:r>
      <w:r>
        <w:rPr>
          <w:rFonts w:ascii="Times New Roman" w:hAnsi="Times New Roman" w:eastAsia="宋体" w:cs="Times New Roman"/>
          <w:snapToGrid w:val="0"/>
          <w:spacing w:val="-4"/>
          <w:kern w:val="0"/>
          <w:sz w:val="24"/>
          <w:szCs w:val="24"/>
        </w:rPr>
        <w:t>产生量计算（3），硝化潜力PNR单位为（mg kg</w:t>
      </w:r>
      <w:r>
        <w:rPr>
          <w:rFonts w:ascii="Times New Roman" w:hAnsi="Times New Roman" w:eastAsia="宋体" w:cs="Times New Roman"/>
          <w:snapToGrid w:val="0"/>
          <w:spacing w:val="-4"/>
          <w:kern w:val="0"/>
          <w:sz w:val="24"/>
          <w:szCs w:val="24"/>
          <w:vertAlign w:val="superscript"/>
        </w:rPr>
        <w:t>-1</w:t>
      </w:r>
      <w:r>
        <w:rPr>
          <w:rFonts w:ascii="Times New Roman" w:hAnsi="Times New Roman" w:eastAsia="宋体" w:cs="Times New Roman"/>
          <w:snapToGrid w:val="0"/>
          <w:spacing w:val="-4"/>
          <w:kern w:val="0"/>
          <w:sz w:val="24"/>
          <w:szCs w:val="24"/>
        </w:rPr>
        <w:t>h</w:t>
      </w:r>
      <w:r>
        <w:rPr>
          <w:rFonts w:ascii="Times New Roman" w:hAnsi="Times New Roman" w:eastAsia="宋体" w:cs="Times New Roman"/>
          <w:snapToGrid w:val="0"/>
          <w:spacing w:val="-4"/>
          <w:kern w:val="0"/>
          <w:sz w:val="24"/>
          <w:szCs w:val="24"/>
          <w:vertAlign w:val="superscript"/>
        </w:rPr>
        <w:t>-1</w:t>
      </w:r>
      <w:r>
        <w:rPr>
          <w:rFonts w:ascii="Times New Roman" w:hAnsi="Times New Roman" w:eastAsia="宋体" w:cs="Times New Roman"/>
          <w:snapToGrid w:val="0"/>
          <w:spacing w:val="-4"/>
          <w:kern w:val="0"/>
          <w:sz w:val="24"/>
          <w:szCs w:val="24"/>
        </w:rPr>
        <w:t>）。</w:t>
      </w:r>
    </w:p>
    <w:p w14:paraId="616115A9">
      <w:pPr>
        <w:keepLines w:val="0"/>
        <w:pageBreakBefore w:val="0"/>
        <w:widowControl/>
        <w:kinsoku w:val="0"/>
        <w:wordWrap/>
        <w:overflowPunct/>
        <w:topLinePunct w:val="0"/>
        <w:autoSpaceDE w:val="0"/>
        <w:autoSpaceDN w:val="0"/>
        <w:bidi w:val="0"/>
        <w:adjustRightInd w:val="0"/>
        <w:snapToGrid w:val="0"/>
        <w:spacing w:line="360" w:lineRule="auto"/>
        <w:ind w:right="231"/>
        <w:jc w:val="right"/>
        <w:textAlignment w:val="baseline"/>
        <w:rPr>
          <w:rFonts w:ascii="Times New Roman" w:hAnsi="Times New Roman" w:eastAsia="宋体" w:cs="Times New Roman"/>
          <w:snapToGrid w:val="0"/>
          <w:kern w:val="0"/>
          <w:sz w:val="24"/>
          <w:szCs w:val="24"/>
        </w:rPr>
      </w:pPr>
      <m:oMath>
        <m:r>
          <m:rPr>
            <m:sty m:val="p"/>
          </m:rPr>
          <w:rPr>
            <w:rFonts w:ascii="Cambria Math" w:hAnsi="Cambria Math" w:eastAsia="宋体" w:cs="Times New Roman"/>
            <w:sz w:val="24"/>
            <w:szCs w:val="24"/>
          </w:rPr>
          <m:t>土壤硝化潜力</m:t>
        </m:r>
        <m:d>
          <m:dPr>
            <m:begChr m:val="（"/>
            <m:endChr m:val="）"/>
            <m:ctrlPr>
              <w:rPr>
                <w:rFonts w:ascii="Cambria Math" w:hAnsi="Cambria Math" w:eastAsia="宋体" w:cs="Times New Roman"/>
                <w:iCs/>
                <w:sz w:val="24"/>
                <w:szCs w:val="24"/>
              </w:rPr>
            </m:ctrlPr>
          </m:dPr>
          <m:e>
            <m:r>
              <m:rPr>
                <m:sty m:val="p"/>
              </m:rPr>
              <w:rPr>
                <w:rFonts w:ascii="Cambria Math" w:hAnsi="Cambria Math" w:eastAsia="宋体" w:cs="Times New Roman"/>
                <w:sz w:val="24"/>
                <w:szCs w:val="24"/>
              </w:rPr>
              <m:t>PNR</m:t>
            </m:r>
            <m:ctrlPr>
              <w:rPr>
                <w:rFonts w:ascii="Cambria Math" w:hAnsi="Cambria Math" w:eastAsia="宋体" w:cs="Times New Roman"/>
                <w:iCs/>
                <w:sz w:val="24"/>
                <w:szCs w:val="24"/>
              </w:rPr>
            </m:ctrlPr>
          </m:e>
        </m:d>
        <m:r>
          <m:rPr>
            <m:sty m:val="p"/>
          </m:rPr>
          <w:rPr>
            <w:rFonts w:ascii="Cambria Math" w:hAnsi="Cambria Math" w:eastAsia="宋体" w:cs="Times New Roman"/>
            <w:sz w:val="24"/>
            <w:szCs w:val="24"/>
          </w:rPr>
          <m:t>=</m:t>
        </m:r>
        <m:f>
          <m:fPr>
            <m:ctrlPr>
              <w:rPr>
                <w:rFonts w:ascii="Cambria Math" w:hAnsi="Cambria Math" w:eastAsia="宋体" w:cs="Times New Roman"/>
                <w:iCs/>
                <w:sz w:val="24"/>
                <w:szCs w:val="24"/>
              </w:rPr>
            </m:ctrlPr>
          </m:fPr>
          <m:num>
            <m:r>
              <m:rPr>
                <m:sty m:val="p"/>
              </m:rPr>
              <w:rPr>
                <w:rFonts w:ascii="Cambria Math" w:hAnsi="Cambria Math" w:eastAsia="宋体" w:cs="Times New Roman"/>
                <w:sz w:val="24"/>
                <w:szCs w:val="24"/>
              </w:rPr>
              <m:t>培养后亚硝氮−培养前亚硝氮</m:t>
            </m:r>
            <m:ctrlPr>
              <w:rPr>
                <w:rFonts w:ascii="Cambria Math" w:hAnsi="Cambria Math" w:eastAsia="宋体" w:cs="Times New Roman"/>
                <w:iCs/>
                <w:sz w:val="24"/>
                <w:szCs w:val="24"/>
              </w:rPr>
            </m:ctrlPr>
          </m:num>
          <m:den>
            <m:r>
              <m:rPr>
                <m:sty m:val="p"/>
              </m:rPr>
              <w:rPr>
                <w:rFonts w:ascii="Cambria Math" w:hAnsi="Cambria Math" w:eastAsia="宋体" w:cs="Times New Roman"/>
                <w:sz w:val="24"/>
                <w:szCs w:val="24"/>
              </w:rPr>
              <m:t>培养时间</m:t>
            </m:r>
            <m:ctrlPr>
              <w:rPr>
                <w:rFonts w:ascii="Cambria Math" w:hAnsi="Cambria Math" w:eastAsia="宋体" w:cs="Times New Roman"/>
                <w:iCs/>
                <w:sz w:val="24"/>
                <w:szCs w:val="24"/>
              </w:rPr>
            </m:ctrlPr>
          </m:den>
        </m:f>
      </m:oMath>
      <w:r>
        <w:rPr>
          <w:rFonts w:ascii="Times New Roman" w:hAnsi="Times New Roman" w:eastAsia="宋体" w:cs="Times New Roman"/>
          <w:snapToGrid w:val="0"/>
          <w:spacing w:val="2"/>
          <w:kern w:val="0"/>
          <w:sz w:val="24"/>
          <w:szCs w:val="24"/>
        </w:rPr>
        <w:t xml:space="preserve"> </w:t>
      </w:r>
      <w:r>
        <w:rPr>
          <w:rFonts w:ascii="Times New Roman" w:hAnsi="Times New Roman" w:eastAsia="宋体" w:cs="Times New Roman"/>
          <w:snapToGrid w:val="0"/>
          <w:spacing w:val="-4"/>
          <w:kern w:val="0"/>
          <w:sz w:val="24"/>
          <w:szCs w:val="24"/>
        </w:rPr>
        <w:t>…………………………</w:t>
      </w:r>
      <w:r>
        <w:rPr>
          <w:rFonts w:ascii="Times New Roman" w:hAnsi="Times New Roman" w:eastAsia="宋体" w:cs="Times New Roman"/>
          <w:snapToGrid w:val="0"/>
          <w:spacing w:val="-48"/>
          <w:kern w:val="0"/>
          <w:sz w:val="24"/>
          <w:szCs w:val="24"/>
        </w:rPr>
        <w:t xml:space="preserve"> </w:t>
      </w:r>
      <w:r>
        <w:rPr>
          <w:rFonts w:ascii="Times New Roman" w:hAnsi="Times New Roman" w:eastAsia="宋体" w:cs="Times New Roman"/>
          <w:snapToGrid w:val="0"/>
          <w:spacing w:val="-4"/>
          <w:kern w:val="0"/>
          <w:sz w:val="24"/>
          <w:szCs w:val="24"/>
        </w:rPr>
        <w:t>(3)</w:t>
      </w:r>
    </w:p>
    <w:p w14:paraId="09868840">
      <w:pPr>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ascii="Times New Roman" w:hAnsi="Times New Roman" w:eastAsia="宋体" w:cs="Times New Roman"/>
          <w:snapToGrid w:val="0"/>
          <w:kern w:val="0"/>
          <w:sz w:val="24"/>
          <w:szCs w:val="24"/>
        </w:rPr>
      </w:pPr>
    </w:p>
    <w:p w14:paraId="274DFAE9">
      <w:pPr>
        <w:keepLines w:val="0"/>
        <w:pageBreakBefore w:val="0"/>
        <w:widowControl/>
        <w:kinsoku w:val="0"/>
        <w:wordWrap/>
        <w:overflowPunct/>
        <w:topLinePunct w:val="0"/>
        <w:autoSpaceDE w:val="0"/>
        <w:autoSpaceDN w:val="0"/>
        <w:bidi w:val="0"/>
        <w:adjustRightInd w:val="0"/>
        <w:snapToGrid w:val="0"/>
        <w:spacing w:line="360" w:lineRule="auto"/>
        <w:jc w:val="left"/>
        <w:textAlignment w:val="baseline"/>
        <w:outlineLvl w:val="0"/>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（3）硝化潜势抑制率的计算</w:t>
      </w:r>
    </w:p>
    <w:p w14:paraId="1B0D8178">
      <w:pPr>
        <w:keepLines w:val="0"/>
        <w:pageBreakBefore w:val="0"/>
        <w:widowControl/>
        <w:kinsoku w:val="0"/>
        <w:wordWrap/>
        <w:overflowPunct/>
        <w:topLinePunct w:val="0"/>
        <w:autoSpaceDE w:val="0"/>
        <w:autoSpaceDN w:val="0"/>
        <w:bidi w:val="0"/>
        <w:adjustRightInd w:val="0"/>
        <w:snapToGrid w:val="0"/>
        <w:spacing w:line="360" w:lineRule="auto"/>
        <w:ind w:firstLine="472" w:firstLineChars="200"/>
        <w:jc w:val="left"/>
        <w:textAlignment w:val="baseline"/>
        <w:rPr>
          <w:rFonts w:ascii="Times New Roman" w:hAnsi="Times New Roman" w:eastAsia="宋体" w:cs="Times New Roman"/>
          <w:snapToGrid w:val="0"/>
          <w:kern w:val="0"/>
          <w:sz w:val="24"/>
          <w:szCs w:val="24"/>
        </w:rPr>
      </w:pPr>
      <w:r>
        <w:rPr>
          <w:rFonts w:ascii="Times New Roman" w:hAnsi="Times New Roman" w:eastAsia="宋体" w:cs="Times New Roman"/>
          <w:snapToGrid w:val="0"/>
          <w:spacing w:val="-2"/>
          <w:kern w:val="0"/>
          <w:sz w:val="24"/>
          <w:szCs w:val="24"/>
        </w:rPr>
        <w:t>硝化潜势抑制率</w:t>
      </w:r>
      <w:r>
        <w:rPr>
          <w:rFonts w:ascii="Cambria Math" w:hAnsi="Cambria Math" w:eastAsia="宋体" w:cs="Cambria Math"/>
          <w:snapToGrid w:val="0"/>
          <w:spacing w:val="-2"/>
          <w:kern w:val="0"/>
          <w:sz w:val="24"/>
          <w:szCs w:val="24"/>
        </w:rPr>
        <w:t>△</w:t>
      </w:r>
      <w:r>
        <w:rPr>
          <w:rFonts w:ascii="Times New Roman" w:hAnsi="Times New Roman" w:eastAsia="宋体" w:cs="Times New Roman"/>
          <w:snapToGrid w:val="0"/>
          <w:spacing w:val="-2"/>
          <w:kern w:val="0"/>
          <w:sz w:val="24"/>
          <w:szCs w:val="24"/>
        </w:rPr>
        <w:t>PNI数值以%表示，按式(5)计算。</w:t>
      </w:r>
    </w:p>
    <w:p w14:paraId="29E437BC">
      <w:pPr>
        <w:keepLines w:val="0"/>
        <w:pageBreakBefore w:val="0"/>
        <w:widowControl/>
        <w:kinsoku w:val="0"/>
        <w:wordWrap/>
        <w:overflowPunct/>
        <w:topLinePunct w:val="0"/>
        <w:autoSpaceDE w:val="0"/>
        <w:autoSpaceDN w:val="0"/>
        <w:bidi w:val="0"/>
        <w:adjustRightInd w:val="0"/>
        <w:snapToGrid w:val="0"/>
        <w:spacing w:line="360" w:lineRule="auto"/>
        <w:ind w:right="231" w:firstLine="476" w:firstLineChars="200"/>
        <w:jc w:val="right"/>
        <w:textAlignment w:val="baseline"/>
        <w:rPr>
          <w:rFonts w:ascii="Times New Roman" w:hAnsi="Times New Roman" w:eastAsia="宋体" w:cs="Times New Roman"/>
          <w:snapToGrid w:val="0"/>
          <w:kern w:val="0"/>
          <w:sz w:val="24"/>
          <w:szCs w:val="24"/>
        </w:rPr>
      </w:pPr>
      <m:oMath>
        <m:r>
          <m:rPr>
            <m:sty m:val="p"/>
          </m:rPr>
          <w:rPr>
            <w:rFonts w:ascii="Cambria Math" w:hAnsi="Cambria Math" w:eastAsia="宋体" w:cs="Times New Roman"/>
            <w:snapToGrid w:val="0"/>
            <w:spacing w:val="-1"/>
            <w:kern w:val="0"/>
            <w:sz w:val="24"/>
            <w:szCs w:val="24"/>
          </w:rPr>
          <m:t>△PNI=</m:t>
        </m:r>
        <m:f>
          <m:fPr>
            <m:ctrlPr>
              <w:rPr>
                <w:rFonts w:ascii="Cambria Math" w:hAnsi="Cambria Math" w:eastAsia="宋体" w:cs="Times New Roman"/>
                <w:snapToGrid w:val="0"/>
                <w:spacing w:val="-1"/>
                <w:kern w:val="0"/>
                <w:sz w:val="24"/>
                <w:szCs w:val="24"/>
              </w:rPr>
            </m:ctrlPr>
          </m:fPr>
          <m:num>
            <m:r>
              <m:rPr>
                <m:sty m:val="p"/>
              </m:rPr>
              <w:rPr>
                <w:rFonts w:ascii="Cambria Math" w:hAnsi="Cambria Math" w:eastAsia="宋体" w:cs="Times New Roman"/>
                <w:snapToGrid w:val="0"/>
                <w:spacing w:val="-1"/>
                <w:kern w:val="0"/>
                <w:sz w:val="24"/>
                <w:szCs w:val="24"/>
              </w:rPr>
              <m:t>PN2−PN1</m:t>
            </m:r>
            <m:ctrlPr>
              <w:rPr>
                <w:rFonts w:ascii="Cambria Math" w:hAnsi="Cambria Math" w:eastAsia="宋体" w:cs="Times New Roman"/>
                <w:snapToGrid w:val="0"/>
                <w:spacing w:val="-1"/>
                <w:kern w:val="0"/>
                <w:sz w:val="24"/>
                <w:szCs w:val="24"/>
              </w:rPr>
            </m:ctrlPr>
          </m:num>
          <m:den>
            <m:r>
              <m:rPr/>
              <w:rPr>
                <w:rFonts w:ascii="Cambria Math" w:hAnsi="Cambria Math" w:eastAsia="宋体" w:cs="Times New Roman"/>
                <w:snapToGrid w:val="0"/>
                <w:spacing w:val="-1"/>
                <w:kern w:val="0"/>
                <w:sz w:val="24"/>
                <w:szCs w:val="24"/>
              </w:rPr>
              <m:t>PN2</m:t>
            </m:r>
            <m:ctrlPr>
              <w:rPr>
                <w:rFonts w:ascii="Cambria Math" w:hAnsi="Cambria Math" w:eastAsia="宋体" w:cs="Times New Roman"/>
                <w:snapToGrid w:val="0"/>
                <w:spacing w:val="-1"/>
                <w:kern w:val="0"/>
                <w:sz w:val="24"/>
                <w:szCs w:val="24"/>
              </w:rPr>
            </m:ctrlPr>
          </m:den>
        </m:f>
        <m:r>
          <m:rPr/>
          <w:rPr>
            <w:rFonts w:ascii="Cambria Math" w:hAnsi="Cambria Math" w:eastAsia="宋体" w:cs="Times New Roman"/>
            <w:snapToGrid w:val="0"/>
            <w:spacing w:val="-1"/>
            <w:kern w:val="0"/>
            <w:sz w:val="24"/>
            <w:szCs w:val="24"/>
          </w:rPr>
          <m:t>×100</m:t>
        </m:r>
      </m:oMath>
      <w:r>
        <w:rPr>
          <w:rFonts w:ascii="Times New Roman" w:hAnsi="Times New Roman" w:eastAsia="宋体" w:cs="Times New Roman"/>
          <w:snapToGrid w:val="0"/>
          <w:spacing w:val="2"/>
          <w:kern w:val="0"/>
          <w:sz w:val="24"/>
          <w:szCs w:val="24"/>
        </w:rPr>
        <w:t xml:space="preserve">           </w:t>
      </w:r>
      <w:r>
        <w:rPr>
          <w:rFonts w:ascii="Times New Roman" w:hAnsi="Times New Roman" w:eastAsia="宋体" w:cs="Times New Roman"/>
          <w:snapToGrid w:val="0"/>
          <w:spacing w:val="-4"/>
          <w:kern w:val="0"/>
          <w:sz w:val="24"/>
          <w:szCs w:val="24"/>
        </w:rPr>
        <w:t>…………………………</w:t>
      </w:r>
      <w:r>
        <w:rPr>
          <w:rFonts w:ascii="Times New Roman" w:hAnsi="Times New Roman" w:eastAsia="宋体" w:cs="Times New Roman"/>
          <w:snapToGrid w:val="0"/>
          <w:spacing w:val="-48"/>
          <w:kern w:val="0"/>
          <w:sz w:val="24"/>
          <w:szCs w:val="24"/>
        </w:rPr>
        <w:t xml:space="preserve"> </w:t>
      </w:r>
      <w:r>
        <w:rPr>
          <w:rFonts w:ascii="Times New Roman" w:hAnsi="Times New Roman" w:eastAsia="宋体" w:cs="Times New Roman"/>
          <w:snapToGrid w:val="0"/>
          <w:spacing w:val="-4"/>
          <w:kern w:val="0"/>
          <w:sz w:val="24"/>
          <w:szCs w:val="24"/>
        </w:rPr>
        <w:t>(5)</w:t>
      </w:r>
    </w:p>
    <w:p w14:paraId="524E0423">
      <w:pPr>
        <w:keepLines w:val="0"/>
        <w:pageBreakBefore w:val="0"/>
        <w:widowControl/>
        <w:kinsoku w:val="0"/>
        <w:wordWrap/>
        <w:overflowPunct/>
        <w:topLinePunct w:val="0"/>
        <w:autoSpaceDE w:val="0"/>
        <w:autoSpaceDN w:val="0"/>
        <w:bidi w:val="0"/>
        <w:adjustRightInd w:val="0"/>
        <w:snapToGrid w:val="0"/>
        <w:spacing w:line="360" w:lineRule="auto"/>
        <w:ind w:firstLine="448" w:firstLineChars="200"/>
        <w:jc w:val="left"/>
        <w:textAlignment w:val="baseline"/>
        <w:rPr>
          <w:rFonts w:ascii="Times New Roman" w:hAnsi="Times New Roman" w:eastAsia="宋体" w:cs="Times New Roman"/>
          <w:snapToGrid w:val="0"/>
          <w:kern w:val="0"/>
          <w:sz w:val="24"/>
          <w:szCs w:val="24"/>
        </w:rPr>
      </w:pPr>
      <w:r>
        <w:rPr>
          <w:rFonts w:ascii="Times New Roman" w:hAnsi="Times New Roman" w:eastAsia="宋体" w:cs="Times New Roman"/>
          <w:snapToGrid w:val="0"/>
          <w:spacing w:val="-8"/>
          <w:kern w:val="0"/>
          <w:sz w:val="24"/>
          <w:szCs w:val="24"/>
        </w:rPr>
        <w:t>式中：</w:t>
      </w:r>
    </w:p>
    <w:p w14:paraId="2AAF1651">
      <w:pPr>
        <w:keepLines w:val="0"/>
        <w:pageBreakBefore w:val="0"/>
        <w:widowControl/>
        <w:kinsoku w:val="0"/>
        <w:wordWrap/>
        <w:overflowPunct/>
        <w:topLinePunct w:val="0"/>
        <w:autoSpaceDE w:val="0"/>
        <w:autoSpaceDN w:val="0"/>
        <w:bidi w:val="0"/>
        <w:adjustRightInd w:val="0"/>
        <w:snapToGrid w:val="0"/>
        <w:spacing w:line="360" w:lineRule="auto"/>
        <w:ind w:firstLine="488" w:firstLineChars="200"/>
        <w:jc w:val="left"/>
        <w:textAlignment w:val="baseline"/>
        <w:rPr>
          <w:rFonts w:hint="eastAsia" w:ascii="Times New Roman" w:hAnsi="Times New Roman" w:eastAsia="宋体" w:cs="Times New Roman"/>
          <w:snapToGrid w:val="0"/>
          <w:kern w:val="0"/>
          <w:sz w:val="24"/>
          <w:szCs w:val="24"/>
          <w:lang w:eastAsia="zh-CN"/>
        </w:rPr>
      </w:pPr>
      <w:r>
        <w:rPr>
          <w:rFonts w:ascii="Times New Roman" w:hAnsi="Times New Roman" w:eastAsia="宋体" w:cs="Times New Roman"/>
          <w:snapToGrid w:val="0"/>
          <w:spacing w:val="2"/>
          <w:kern w:val="0"/>
          <w:position w:val="8"/>
          <w:sz w:val="24"/>
          <w:szCs w:val="24"/>
        </w:rPr>
        <w:t>PN2——对照样品的硝化潜势，%</w:t>
      </w:r>
      <w:r>
        <w:rPr>
          <w:rFonts w:hint="eastAsia" w:ascii="Times New Roman" w:hAnsi="Times New Roman" w:eastAsia="宋体" w:cs="Times New Roman"/>
          <w:snapToGrid w:val="0"/>
          <w:spacing w:val="2"/>
          <w:kern w:val="0"/>
          <w:position w:val="8"/>
          <w:sz w:val="24"/>
          <w:szCs w:val="24"/>
          <w:lang w:eastAsia="zh-CN"/>
        </w:rPr>
        <w:t>；</w:t>
      </w:r>
    </w:p>
    <w:p w14:paraId="45753EF6">
      <w:pPr>
        <w:keepLines w:val="0"/>
        <w:pageBreakBefore w:val="0"/>
        <w:widowControl/>
        <w:kinsoku w:val="0"/>
        <w:wordWrap/>
        <w:overflowPunct/>
        <w:topLinePunct w:val="0"/>
        <w:autoSpaceDE w:val="0"/>
        <w:autoSpaceDN w:val="0"/>
        <w:bidi w:val="0"/>
        <w:adjustRightInd w:val="0"/>
        <w:snapToGrid w:val="0"/>
        <w:spacing w:line="360" w:lineRule="auto"/>
        <w:ind w:firstLine="488" w:firstLineChars="200"/>
        <w:jc w:val="left"/>
        <w:textAlignment w:val="baseline"/>
        <w:rPr>
          <w:rFonts w:hint="eastAsia" w:ascii="Times New Roman" w:hAnsi="Times New Roman" w:eastAsia="宋体" w:cs="Times New Roman"/>
          <w:color w:val="FF0000"/>
          <w:kern w:val="2"/>
          <w:sz w:val="24"/>
          <w:szCs w:val="24"/>
          <w:lang w:val="en-US" w:eastAsia="zh-CN" w:bidi="ar-SA"/>
        </w:rPr>
      </w:pPr>
      <w:r>
        <w:rPr>
          <w:rFonts w:ascii="Times New Roman" w:hAnsi="Times New Roman" w:eastAsia="宋体" w:cs="Times New Roman"/>
          <w:snapToGrid w:val="0"/>
          <w:color w:val="FF0000"/>
          <w:spacing w:val="2"/>
          <w:kern w:val="0"/>
          <w:sz w:val="24"/>
          <w:szCs w:val="24"/>
        </w:rPr>
        <w:t>PN</w:t>
      </w:r>
      <w:r>
        <w:rPr>
          <w:rFonts w:hint="eastAsia" w:ascii="Times New Roman" w:hAnsi="Times New Roman" w:eastAsia="宋体" w:cs="Times New Roman"/>
          <w:snapToGrid w:val="0"/>
          <w:color w:val="FF0000"/>
          <w:spacing w:val="2"/>
          <w:kern w:val="0"/>
          <w:sz w:val="24"/>
          <w:szCs w:val="24"/>
          <w:lang w:val="en-US" w:eastAsia="zh-CN"/>
        </w:rPr>
        <w:t>1</w:t>
      </w:r>
      <w:r>
        <w:rPr>
          <w:rFonts w:ascii="Times New Roman" w:hAnsi="Times New Roman" w:eastAsia="宋体" w:cs="Times New Roman"/>
          <w:snapToGrid w:val="0"/>
          <w:color w:val="FF0000"/>
          <w:spacing w:val="2"/>
          <w:kern w:val="0"/>
          <w:sz w:val="24"/>
          <w:szCs w:val="24"/>
        </w:rPr>
        <w:t>——</w:t>
      </w:r>
      <w:r>
        <w:rPr>
          <w:rFonts w:ascii="Times New Roman" w:hAnsi="Times New Roman" w:eastAsia="宋体" w:cs="Times New Roman"/>
          <w:snapToGrid w:val="0"/>
          <w:color w:val="FF0000"/>
          <w:spacing w:val="-20"/>
          <w:kern w:val="0"/>
          <w:sz w:val="24"/>
          <w:szCs w:val="24"/>
        </w:rPr>
        <w:t xml:space="preserve"> </w:t>
      </w:r>
      <w:r>
        <w:rPr>
          <w:rFonts w:ascii="Times New Roman" w:hAnsi="Times New Roman" w:eastAsia="宋体" w:cs="Times New Roman"/>
          <w:snapToGrid w:val="0"/>
          <w:color w:val="FF0000"/>
          <w:spacing w:val="2"/>
          <w:kern w:val="0"/>
          <w:sz w:val="24"/>
          <w:szCs w:val="24"/>
        </w:rPr>
        <w:t>试样的硝化潜势，%。</w:t>
      </w:r>
    </w:p>
    <w:p w14:paraId="5BE00B9C">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1.2 测试结果</w:t>
      </w:r>
    </w:p>
    <w:p w14:paraId="2C42385C">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szCs w:val="21"/>
          <w:lang w:val="en-US" w:eastAsia="zh-CN"/>
        </w:rPr>
      </w:pPr>
      <w:r>
        <w:rPr>
          <w:rFonts w:hint="eastAsia" w:ascii="Times New Roman" w:hAnsi="Times New Roman" w:eastAsia="宋体" w:cs="Times New Roman"/>
          <w:kern w:val="2"/>
          <w:sz w:val="24"/>
          <w:szCs w:val="24"/>
          <w:lang w:val="en-US" w:eastAsia="zh-CN" w:bidi="ar-SA"/>
        </w:rPr>
        <w:t>结果表明，DCD和NAM添加剂在尿素、铵态氮和复合肥上都对土壤硝化潜势表现出了一定的抑制效果，其中在红壤和棕壤中的硝化抑制效果较为稳定。以上结果说明该硝化潜势测定方法评价稳定性肥料的硝化抑制效果是可行的。</w:t>
      </w:r>
    </w:p>
    <w:p w14:paraId="09A1BC1A">
      <w:pPr>
        <w:keepLines w:val="0"/>
        <w:pageBreakBefore w:val="0"/>
        <w:wordWrap/>
        <w:overflowPunct/>
        <w:topLinePunct w:val="0"/>
        <w:bidi w:val="0"/>
        <w:spacing w:line="360" w:lineRule="auto"/>
        <w:ind w:firstLine="422" w:firstLineChars="200"/>
        <w:jc w:val="center"/>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b/>
          <w:szCs w:val="21"/>
          <w:lang w:val="en-US" w:eastAsia="zh-CN"/>
        </w:rPr>
        <w:t>表2 自配肥的土壤硝化潜势差异率（RNP）</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
        <w:gridCol w:w="1764"/>
        <w:gridCol w:w="1754"/>
        <w:gridCol w:w="1156"/>
        <w:gridCol w:w="1754"/>
        <w:gridCol w:w="1157"/>
      </w:tblGrid>
      <w:tr w14:paraId="258F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48" w:type="pct"/>
            <w:vAlign w:val="top"/>
          </w:tcPr>
          <w:p w14:paraId="44BA116C">
            <w:pPr>
              <w:keepLines w:val="0"/>
              <w:pageBreakBefore w:val="0"/>
              <w:wordWrap/>
              <w:overflowPunct/>
              <w:topLinePunct w:val="0"/>
              <w:bidi w:val="0"/>
              <w:spacing w:line="240" w:lineRule="auto"/>
              <w:rPr>
                <w:rFonts w:hint="default" w:ascii="Times New Roman" w:hAnsi="Times New Roman" w:eastAsia="宋体" w:cs="Times New Roman"/>
                <w:szCs w:val="21"/>
                <w:lang w:val="en-US" w:eastAsia="zh-CN"/>
              </w:rPr>
            </w:pPr>
          </w:p>
        </w:tc>
        <w:tc>
          <w:tcPr>
            <w:tcW w:w="1035" w:type="pct"/>
            <w:vAlign w:val="top"/>
          </w:tcPr>
          <w:p w14:paraId="05F4454A">
            <w:pPr>
              <w:keepLines w:val="0"/>
              <w:pageBreakBefore w:val="0"/>
              <w:wordWrap/>
              <w:overflowPunct/>
              <w:topLinePunct w:val="0"/>
              <w:bidi w:val="0"/>
              <w:spacing w:line="360" w:lineRule="auto"/>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处理</w:t>
            </w:r>
          </w:p>
        </w:tc>
        <w:tc>
          <w:tcPr>
            <w:tcW w:w="1707" w:type="pct"/>
            <w:gridSpan w:val="2"/>
            <w:vAlign w:val="top"/>
          </w:tcPr>
          <w:p w14:paraId="4901A574">
            <w:pPr>
              <w:keepLines w:val="0"/>
              <w:pageBreakBefore w:val="0"/>
              <w:wordWrap/>
              <w:overflowPunct/>
              <w:topLinePunct w:val="0"/>
              <w:bidi w:val="0"/>
              <w:spacing w:line="360" w:lineRule="auto"/>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红壤</w:t>
            </w:r>
          </w:p>
        </w:tc>
        <w:tc>
          <w:tcPr>
            <w:tcW w:w="1708" w:type="pct"/>
            <w:gridSpan w:val="2"/>
            <w:shd w:val="clear" w:color="auto" w:fill="auto"/>
            <w:vAlign w:val="top"/>
          </w:tcPr>
          <w:p w14:paraId="10F8328A">
            <w:pPr>
              <w:keepLines w:val="0"/>
              <w:pageBreakBefore w:val="0"/>
              <w:wordWrap/>
              <w:overflowPunct/>
              <w:topLinePunct w:val="0"/>
              <w:bidi w:val="0"/>
              <w:spacing w:line="360" w:lineRule="auto"/>
              <w:rPr>
                <w:rFonts w:hint="default" w:ascii="Times New Roman" w:hAnsi="Times New Roman" w:eastAsia="宋体" w:cs="Times New Roman"/>
                <w:b/>
                <w:bCs/>
                <w:kern w:val="2"/>
                <w:sz w:val="21"/>
                <w:szCs w:val="21"/>
                <w:lang w:val="en-US" w:eastAsia="zh-CN" w:bidi="ar-SA"/>
              </w:rPr>
            </w:pPr>
            <w:r>
              <w:rPr>
                <w:rFonts w:hint="eastAsia" w:ascii="Times New Roman" w:hAnsi="Times New Roman" w:eastAsia="宋体" w:cs="Times New Roman"/>
                <w:b/>
                <w:bCs/>
                <w:kern w:val="2"/>
                <w:sz w:val="21"/>
                <w:szCs w:val="21"/>
                <w:lang w:val="en-US" w:eastAsia="zh-CN" w:bidi="ar-SA"/>
              </w:rPr>
              <w:t>棕壤</w:t>
            </w:r>
          </w:p>
        </w:tc>
      </w:tr>
      <w:tr w14:paraId="52014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548" w:type="pct"/>
            <w:vAlign w:val="top"/>
          </w:tcPr>
          <w:p w14:paraId="74436E3F">
            <w:pPr>
              <w:keepLines w:val="0"/>
              <w:pageBreakBefore w:val="0"/>
              <w:wordWrap/>
              <w:overflowPunct/>
              <w:topLinePunct w:val="0"/>
              <w:bidi w:val="0"/>
              <w:spacing w:line="360" w:lineRule="auto"/>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处理</w:t>
            </w:r>
          </w:p>
          <w:p w14:paraId="3685685B">
            <w:pPr>
              <w:keepLines w:val="0"/>
              <w:pageBreakBefore w:val="0"/>
              <w:wordWrap/>
              <w:overflowPunct/>
              <w:topLinePunct w:val="0"/>
              <w:bidi w:val="0"/>
              <w:spacing w:line="360" w:lineRule="auto"/>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编号</w:t>
            </w:r>
          </w:p>
        </w:tc>
        <w:tc>
          <w:tcPr>
            <w:tcW w:w="1035" w:type="pct"/>
            <w:vAlign w:val="top"/>
          </w:tcPr>
          <w:p w14:paraId="650502F2">
            <w:pPr>
              <w:keepLines w:val="0"/>
              <w:pageBreakBefore w:val="0"/>
              <w:wordWrap/>
              <w:overflowPunct/>
              <w:topLinePunct w:val="0"/>
              <w:bidi w:val="0"/>
              <w:spacing w:line="360" w:lineRule="auto"/>
              <w:rPr>
                <w:rFonts w:hint="eastAsia" w:ascii="Times New Roman" w:hAnsi="Times New Roman" w:eastAsia="宋体" w:cs="Times New Roman"/>
                <w:b/>
                <w:bCs/>
                <w:sz w:val="18"/>
                <w:szCs w:val="18"/>
                <w:lang w:val="en-US" w:eastAsia="zh-CN"/>
              </w:rPr>
            </w:pPr>
          </w:p>
        </w:tc>
        <w:tc>
          <w:tcPr>
            <w:tcW w:w="1029" w:type="pct"/>
            <w:shd w:val="clear" w:color="auto" w:fill="auto"/>
            <w:vAlign w:val="top"/>
          </w:tcPr>
          <w:p w14:paraId="10FE311E">
            <w:pPr>
              <w:keepLines w:val="0"/>
              <w:pageBreakBefore w:val="0"/>
              <w:wordWrap/>
              <w:overflowPunct/>
              <w:topLinePunct w:val="0"/>
              <w:bidi w:val="0"/>
              <w:spacing w:line="360" w:lineRule="auto"/>
              <w:rPr>
                <w:rFonts w:hint="eastAsia" w:ascii="Times New Roman" w:hAnsi="Times New Roman" w:eastAsia="宋体" w:cs="Times New Roman"/>
                <w:b/>
                <w:bCs/>
                <w:sz w:val="18"/>
                <w:szCs w:val="18"/>
                <w:lang w:val="en-US" w:eastAsia="zh-CN"/>
              </w:rPr>
            </w:pPr>
            <w:r>
              <w:rPr>
                <w:rFonts w:hint="eastAsia" w:ascii="Times New Roman" w:hAnsi="Times New Roman" w:eastAsia="宋体" w:cs="Times New Roman"/>
                <w:b/>
                <w:bCs/>
                <w:sz w:val="18"/>
                <w:szCs w:val="18"/>
                <w:lang w:val="en-US" w:eastAsia="zh-CN"/>
              </w:rPr>
              <w:t>硝化潜势</w:t>
            </w:r>
          </w:p>
          <w:p w14:paraId="2D441F50">
            <w:pPr>
              <w:keepLines w:val="0"/>
              <w:pageBreakBefore w:val="0"/>
              <w:wordWrap/>
              <w:overflowPunct/>
              <w:topLinePunct w:val="0"/>
              <w:bidi w:val="0"/>
              <w:spacing w:line="360" w:lineRule="auto"/>
              <w:rPr>
                <w:rFonts w:hint="default" w:ascii="Times New Roman" w:hAnsi="Times New Roman" w:eastAsia="宋体" w:cs="Times New Roman"/>
                <w:b/>
                <w:bCs/>
                <w:kern w:val="2"/>
                <w:sz w:val="18"/>
                <w:szCs w:val="18"/>
                <w:lang w:val="en-US" w:eastAsia="zh-CN" w:bidi="ar-SA"/>
              </w:rPr>
            </w:pPr>
            <w:r>
              <w:rPr>
                <w:rFonts w:hint="default" w:ascii="Times New Roman" w:hAnsi="Times New Roman" w:eastAsia="宋体" w:cs="Times New Roman"/>
                <w:b/>
                <w:bCs/>
                <w:sz w:val="18"/>
                <w:szCs w:val="18"/>
                <w:lang w:val="en-US" w:eastAsia="zh-CN"/>
              </w:rPr>
              <w:t>mgNO</w:t>
            </w:r>
            <w:r>
              <w:rPr>
                <w:rFonts w:hint="default" w:ascii="Times New Roman" w:hAnsi="Times New Roman" w:eastAsia="宋体" w:cs="Times New Roman"/>
                <w:b/>
                <w:bCs/>
                <w:sz w:val="18"/>
                <w:szCs w:val="18"/>
                <w:vertAlign w:val="subscript"/>
                <w:lang w:val="en-US" w:eastAsia="zh-CN"/>
              </w:rPr>
              <w:t>2</w:t>
            </w:r>
            <w:r>
              <w:rPr>
                <w:rFonts w:hint="default" w:ascii="Times New Roman" w:hAnsi="Times New Roman" w:eastAsia="宋体" w:cs="Times New Roman"/>
                <w:b/>
                <w:bCs/>
                <w:sz w:val="18"/>
                <w:szCs w:val="18"/>
                <w:vertAlign w:val="superscript"/>
                <w:lang w:val="en-US" w:eastAsia="zh-CN"/>
              </w:rPr>
              <w:t>-</w:t>
            </w:r>
            <w:r>
              <w:rPr>
                <w:rFonts w:hint="default" w:ascii="Times New Roman" w:hAnsi="Times New Roman" w:eastAsia="宋体" w:cs="Times New Roman"/>
                <w:b/>
                <w:bCs/>
                <w:sz w:val="18"/>
                <w:szCs w:val="18"/>
                <w:lang w:val="en-US" w:eastAsia="zh-CN"/>
              </w:rPr>
              <w:t>-N kg</w:t>
            </w:r>
            <w:r>
              <w:rPr>
                <w:rFonts w:hint="default" w:ascii="Times New Roman" w:hAnsi="Times New Roman" w:eastAsia="宋体" w:cs="Times New Roman"/>
                <w:b/>
                <w:bCs/>
                <w:sz w:val="18"/>
                <w:szCs w:val="18"/>
                <w:vertAlign w:val="superscript"/>
                <w:lang w:val="en-US" w:eastAsia="zh-CN"/>
              </w:rPr>
              <w:t>-1</w:t>
            </w:r>
            <w:r>
              <w:rPr>
                <w:rFonts w:hint="default" w:ascii="Times New Roman" w:hAnsi="Times New Roman" w:eastAsia="宋体" w:cs="Times New Roman"/>
                <w:b/>
                <w:bCs/>
                <w:sz w:val="18"/>
                <w:szCs w:val="18"/>
                <w:lang w:val="en-US" w:eastAsia="zh-CN"/>
              </w:rPr>
              <w:t xml:space="preserve"> h</w:t>
            </w:r>
            <w:r>
              <w:rPr>
                <w:rFonts w:hint="default" w:ascii="Times New Roman" w:hAnsi="Times New Roman" w:eastAsia="宋体" w:cs="Times New Roman"/>
                <w:b/>
                <w:bCs/>
                <w:sz w:val="18"/>
                <w:szCs w:val="18"/>
                <w:vertAlign w:val="superscript"/>
                <w:lang w:val="en-US" w:eastAsia="zh-CN"/>
              </w:rPr>
              <w:t>-1</w:t>
            </w:r>
          </w:p>
        </w:tc>
        <w:tc>
          <w:tcPr>
            <w:tcW w:w="678" w:type="pct"/>
            <w:shd w:val="clear" w:color="auto" w:fill="auto"/>
            <w:vAlign w:val="top"/>
          </w:tcPr>
          <w:p w14:paraId="3DF1CB5E">
            <w:pPr>
              <w:keepLines w:val="0"/>
              <w:pageBreakBefore w:val="0"/>
              <w:wordWrap/>
              <w:overflowPunct/>
              <w:topLinePunct w:val="0"/>
              <w:bidi w:val="0"/>
              <w:spacing w:line="360" w:lineRule="auto"/>
              <w:rPr>
                <w:rFonts w:hint="eastAsia" w:ascii="Times New Roman" w:hAnsi="Times New Roman" w:eastAsia="宋体" w:cs="Times New Roman"/>
                <w:b/>
                <w:bCs/>
                <w:kern w:val="2"/>
                <w:sz w:val="18"/>
                <w:szCs w:val="18"/>
                <w:lang w:val="en-US" w:eastAsia="zh-CN" w:bidi="ar-SA"/>
              </w:rPr>
            </w:pPr>
            <w:r>
              <w:rPr>
                <w:rFonts w:hint="eastAsia" w:ascii="Times New Roman" w:hAnsi="Times New Roman" w:eastAsia="宋体" w:cs="Times New Roman"/>
                <w:b/>
                <w:bCs/>
                <w:sz w:val="18"/>
                <w:szCs w:val="18"/>
                <w:lang w:val="en-US" w:eastAsia="zh-CN"/>
              </w:rPr>
              <w:t>RNP %</w:t>
            </w:r>
          </w:p>
        </w:tc>
        <w:tc>
          <w:tcPr>
            <w:tcW w:w="1029" w:type="pct"/>
            <w:shd w:val="clear" w:color="auto" w:fill="auto"/>
            <w:vAlign w:val="top"/>
          </w:tcPr>
          <w:p w14:paraId="55D2E852">
            <w:pPr>
              <w:keepLines w:val="0"/>
              <w:pageBreakBefore w:val="0"/>
              <w:wordWrap/>
              <w:overflowPunct/>
              <w:topLinePunct w:val="0"/>
              <w:bidi w:val="0"/>
              <w:spacing w:line="360" w:lineRule="auto"/>
              <w:rPr>
                <w:rFonts w:hint="eastAsia" w:ascii="Times New Roman" w:hAnsi="Times New Roman" w:eastAsia="宋体" w:cs="Times New Roman"/>
                <w:b/>
                <w:bCs/>
                <w:sz w:val="18"/>
                <w:szCs w:val="18"/>
                <w:lang w:val="en-US" w:eastAsia="zh-CN"/>
              </w:rPr>
            </w:pPr>
            <w:r>
              <w:rPr>
                <w:rFonts w:hint="eastAsia" w:ascii="Times New Roman" w:hAnsi="Times New Roman" w:eastAsia="宋体" w:cs="Times New Roman"/>
                <w:b/>
                <w:bCs/>
                <w:sz w:val="18"/>
                <w:szCs w:val="18"/>
                <w:lang w:val="en-US" w:eastAsia="zh-CN"/>
              </w:rPr>
              <w:t>硝化潜势</w:t>
            </w:r>
          </w:p>
          <w:p w14:paraId="7F6407E9">
            <w:pPr>
              <w:keepLines w:val="0"/>
              <w:pageBreakBefore w:val="0"/>
              <w:wordWrap/>
              <w:overflowPunct/>
              <w:topLinePunct w:val="0"/>
              <w:bidi w:val="0"/>
              <w:spacing w:line="360" w:lineRule="auto"/>
              <w:rPr>
                <w:rFonts w:hint="default" w:ascii="Times New Roman" w:hAnsi="Times New Roman" w:eastAsia="宋体" w:cs="Times New Roman"/>
                <w:b/>
                <w:bCs/>
                <w:kern w:val="2"/>
                <w:sz w:val="18"/>
                <w:szCs w:val="18"/>
                <w:lang w:val="en-US" w:eastAsia="zh-CN" w:bidi="ar-SA"/>
              </w:rPr>
            </w:pPr>
            <w:r>
              <w:rPr>
                <w:rFonts w:hint="default" w:ascii="Times New Roman" w:hAnsi="Times New Roman" w:eastAsia="宋体" w:cs="Times New Roman"/>
                <w:b/>
                <w:bCs/>
                <w:sz w:val="18"/>
                <w:szCs w:val="18"/>
                <w:lang w:val="en-US" w:eastAsia="zh-CN"/>
              </w:rPr>
              <w:t>mgNO</w:t>
            </w:r>
            <w:r>
              <w:rPr>
                <w:rFonts w:hint="default" w:ascii="Times New Roman" w:hAnsi="Times New Roman" w:eastAsia="宋体" w:cs="Times New Roman"/>
                <w:b/>
                <w:bCs/>
                <w:sz w:val="18"/>
                <w:szCs w:val="18"/>
                <w:vertAlign w:val="subscript"/>
                <w:lang w:val="en-US" w:eastAsia="zh-CN"/>
              </w:rPr>
              <w:t>2</w:t>
            </w:r>
            <w:r>
              <w:rPr>
                <w:rFonts w:hint="default" w:ascii="Times New Roman" w:hAnsi="Times New Roman" w:eastAsia="宋体" w:cs="Times New Roman"/>
                <w:b/>
                <w:bCs/>
                <w:sz w:val="18"/>
                <w:szCs w:val="18"/>
                <w:vertAlign w:val="superscript"/>
                <w:lang w:val="en-US" w:eastAsia="zh-CN"/>
              </w:rPr>
              <w:t>-</w:t>
            </w:r>
            <w:r>
              <w:rPr>
                <w:rFonts w:hint="default" w:ascii="Times New Roman" w:hAnsi="Times New Roman" w:eastAsia="宋体" w:cs="Times New Roman"/>
                <w:b/>
                <w:bCs/>
                <w:sz w:val="18"/>
                <w:szCs w:val="18"/>
                <w:lang w:val="en-US" w:eastAsia="zh-CN"/>
              </w:rPr>
              <w:t>-N kg</w:t>
            </w:r>
            <w:r>
              <w:rPr>
                <w:rFonts w:hint="default" w:ascii="Times New Roman" w:hAnsi="Times New Roman" w:eastAsia="宋体" w:cs="Times New Roman"/>
                <w:b/>
                <w:bCs/>
                <w:sz w:val="18"/>
                <w:szCs w:val="18"/>
                <w:vertAlign w:val="superscript"/>
                <w:lang w:val="en-US" w:eastAsia="zh-CN"/>
              </w:rPr>
              <w:t>-1</w:t>
            </w:r>
            <w:r>
              <w:rPr>
                <w:rFonts w:hint="default" w:ascii="Times New Roman" w:hAnsi="Times New Roman" w:eastAsia="宋体" w:cs="Times New Roman"/>
                <w:b/>
                <w:bCs/>
                <w:sz w:val="18"/>
                <w:szCs w:val="18"/>
                <w:lang w:val="en-US" w:eastAsia="zh-CN"/>
              </w:rPr>
              <w:t xml:space="preserve"> h</w:t>
            </w:r>
            <w:r>
              <w:rPr>
                <w:rFonts w:hint="default" w:ascii="Times New Roman" w:hAnsi="Times New Roman" w:eastAsia="宋体" w:cs="Times New Roman"/>
                <w:b/>
                <w:bCs/>
                <w:sz w:val="18"/>
                <w:szCs w:val="18"/>
                <w:vertAlign w:val="superscript"/>
                <w:lang w:val="en-US" w:eastAsia="zh-CN"/>
              </w:rPr>
              <w:t>-1</w:t>
            </w:r>
          </w:p>
        </w:tc>
        <w:tc>
          <w:tcPr>
            <w:tcW w:w="679" w:type="pct"/>
            <w:shd w:val="clear" w:color="auto" w:fill="auto"/>
            <w:vAlign w:val="top"/>
          </w:tcPr>
          <w:p w14:paraId="69160636">
            <w:pPr>
              <w:keepLines w:val="0"/>
              <w:pageBreakBefore w:val="0"/>
              <w:wordWrap/>
              <w:overflowPunct/>
              <w:topLinePunct w:val="0"/>
              <w:bidi w:val="0"/>
              <w:spacing w:line="360" w:lineRule="auto"/>
              <w:rPr>
                <w:rFonts w:hint="eastAsia" w:ascii="Times New Roman" w:hAnsi="Times New Roman" w:eastAsia="宋体" w:cs="Times New Roman"/>
                <w:b/>
                <w:bCs/>
                <w:kern w:val="2"/>
                <w:sz w:val="18"/>
                <w:szCs w:val="18"/>
                <w:lang w:val="en-US" w:eastAsia="zh-CN" w:bidi="ar-SA"/>
              </w:rPr>
            </w:pPr>
            <w:r>
              <w:rPr>
                <w:rFonts w:hint="eastAsia" w:ascii="Times New Roman" w:hAnsi="Times New Roman" w:eastAsia="宋体" w:cs="Times New Roman"/>
                <w:b/>
                <w:bCs/>
                <w:sz w:val="18"/>
                <w:szCs w:val="18"/>
                <w:lang w:val="en-US" w:eastAsia="zh-CN"/>
              </w:rPr>
              <w:t>RNP %</w:t>
            </w:r>
          </w:p>
        </w:tc>
      </w:tr>
      <w:tr w14:paraId="47316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8" w:type="pct"/>
            <w:vAlign w:val="top"/>
          </w:tcPr>
          <w:p w14:paraId="0976B8C2">
            <w:pPr>
              <w:keepLines w:val="0"/>
              <w:pageBreakBefore w:val="0"/>
              <w:wordWrap/>
              <w:overflowPunct/>
              <w:topLinePunct w:val="0"/>
              <w:bidi w:val="0"/>
              <w:spacing w:line="360" w:lineRule="auto"/>
              <w:rPr>
                <w:rFonts w:ascii="Times New Roman" w:hAnsi="Times New Roman" w:eastAsia="宋体" w:cs="Times New Roman"/>
                <w:szCs w:val="21"/>
              </w:rPr>
            </w:pPr>
            <w:r>
              <w:rPr>
                <w:rFonts w:ascii="Times New Roman" w:hAnsi="Times New Roman" w:eastAsia="宋体" w:cs="Times New Roman"/>
                <w:szCs w:val="21"/>
              </w:rPr>
              <w:t>（1）</w:t>
            </w:r>
          </w:p>
        </w:tc>
        <w:tc>
          <w:tcPr>
            <w:tcW w:w="1035" w:type="pct"/>
            <w:vAlign w:val="top"/>
          </w:tcPr>
          <w:p w14:paraId="3C1F154D">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lang w:val="en-US" w:eastAsia="zh-CN"/>
              </w:rPr>
              <w:t>尿素</w:t>
            </w:r>
          </w:p>
        </w:tc>
        <w:tc>
          <w:tcPr>
            <w:tcW w:w="1029" w:type="pct"/>
            <w:vAlign w:val="top"/>
          </w:tcPr>
          <w:p w14:paraId="01128F8D">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0.0057</w:t>
            </w:r>
          </w:p>
        </w:tc>
        <w:tc>
          <w:tcPr>
            <w:tcW w:w="678" w:type="pct"/>
            <w:vAlign w:val="top"/>
          </w:tcPr>
          <w:p w14:paraId="073F6F29">
            <w:pPr>
              <w:keepLines w:val="0"/>
              <w:pageBreakBefore w:val="0"/>
              <w:wordWrap/>
              <w:overflowPunct/>
              <w:topLinePunct w:val="0"/>
              <w:bidi w:val="0"/>
              <w:spacing w:line="360" w:lineRule="auto"/>
              <w:rPr>
                <w:rFonts w:ascii="Times New Roman" w:hAnsi="Times New Roman" w:eastAsia="宋体" w:cs="Times New Roman"/>
                <w:szCs w:val="21"/>
              </w:rPr>
            </w:pPr>
          </w:p>
        </w:tc>
        <w:tc>
          <w:tcPr>
            <w:tcW w:w="1029" w:type="pct"/>
            <w:vAlign w:val="top"/>
          </w:tcPr>
          <w:p w14:paraId="26B47EF9">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0.0098</w:t>
            </w:r>
          </w:p>
        </w:tc>
        <w:tc>
          <w:tcPr>
            <w:tcW w:w="679" w:type="pct"/>
            <w:vAlign w:val="top"/>
          </w:tcPr>
          <w:p w14:paraId="2820BC9F">
            <w:pPr>
              <w:keepLines w:val="0"/>
              <w:pageBreakBefore w:val="0"/>
              <w:wordWrap/>
              <w:overflowPunct/>
              <w:topLinePunct w:val="0"/>
              <w:bidi w:val="0"/>
              <w:spacing w:line="360" w:lineRule="auto"/>
              <w:rPr>
                <w:rFonts w:hint="eastAsia" w:ascii="Times New Roman" w:hAnsi="Times New Roman" w:eastAsia="宋体" w:cs="Times New Roman"/>
                <w:szCs w:val="21"/>
                <w:lang w:eastAsia="zh-CN"/>
              </w:rPr>
            </w:pPr>
            <w:r>
              <w:rPr>
                <w:rFonts w:hint="eastAsia" w:ascii="Times New Roman" w:hAnsi="Times New Roman" w:eastAsia="宋体" w:cs="Times New Roman"/>
                <w:szCs w:val="21"/>
                <w:lang w:eastAsia="zh-CN"/>
              </w:rPr>
              <w:t>—</w:t>
            </w:r>
          </w:p>
        </w:tc>
      </w:tr>
      <w:tr w14:paraId="0189F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8" w:type="pct"/>
            <w:vAlign w:val="top"/>
          </w:tcPr>
          <w:p w14:paraId="60EC5599">
            <w:pPr>
              <w:keepLines w:val="0"/>
              <w:pageBreakBefore w:val="0"/>
              <w:wordWrap/>
              <w:overflowPunct/>
              <w:topLinePunct w:val="0"/>
              <w:bidi w:val="0"/>
              <w:spacing w:line="360" w:lineRule="auto"/>
              <w:rPr>
                <w:rFonts w:ascii="Times New Roman" w:hAnsi="Times New Roman" w:eastAsia="宋体" w:cs="Times New Roman"/>
                <w:szCs w:val="21"/>
              </w:rPr>
            </w:pPr>
            <w:r>
              <w:rPr>
                <w:rFonts w:ascii="Times New Roman" w:hAnsi="Times New Roman" w:eastAsia="宋体" w:cs="Times New Roman"/>
                <w:szCs w:val="21"/>
              </w:rPr>
              <w:t>（2）</w:t>
            </w:r>
          </w:p>
        </w:tc>
        <w:tc>
          <w:tcPr>
            <w:tcW w:w="1035" w:type="pct"/>
            <w:vAlign w:val="top"/>
          </w:tcPr>
          <w:p w14:paraId="6A3E1532">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lang w:val="en-US" w:eastAsia="zh-CN"/>
              </w:rPr>
              <w:t>尿素+DCD</w:t>
            </w:r>
          </w:p>
        </w:tc>
        <w:tc>
          <w:tcPr>
            <w:tcW w:w="1029" w:type="pct"/>
            <w:vAlign w:val="top"/>
          </w:tcPr>
          <w:p w14:paraId="06DBE888">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0.0023</w:t>
            </w:r>
          </w:p>
        </w:tc>
        <w:tc>
          <w:tcPr>
            <w:tcW w:w="678" w:type="pct"/>
            <w:vAlign w:val="top"/>
          </w:tcPr>
          <w:p w14:paraId="551128DA">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59.05</w:t>
            </w:r>
          </w:p>
        </w:tc>
        <w:tc>
          <w:tcPr>
            <w:tcW w:w="1029" w:type="pct"/>
            <w:vAlign w:val="top"/>
          </w:tcPr>
          <w:p w14:paraId="4736350A">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0.0081</w:t>
            </w:r>
          </w:p>
        </w:tc>
        <w:tc>
          <w:tcPr>
            <w:tcW w:w="679" w:type="pct"/>
            <w:shd w:val="clear" w:color="auto" w:fill="auto"/>
            <w:vAlign w:val="top"/>
          </w:tcPr>
          <w:p w14:paraId="5C4EEF70">
            <w:pPr>
              <w:keepLines w:val="0"/>
              <w:pageBreakBefore w:val="0"/>
              <w:wordWrap/>
              <w:overflowPunct/>
              <w:topLinePunct w:val="0"/>
              <w:bidi w:val="0"/>
              <w:spacing w:line="360" w:lineRule="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lang w:val="en-US" w:eastAsia="zh-CN"/>
              </w:rPr>
              <w:t>17.36</w:t>
            </w:r>
          </w:p>
        </w:tc>
      </w:tr>
      <w:tr w14:paraId="2DE47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8" w:type="pct"/>
            <w:shd w:val="clear" w:color="auto" w:fill="auto"/>
            <w:vAlign w:val="top"/>
          </w:tcPr>
          <w:p w14:paraId="38DA9ECC">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（3）</w:t>
            </w:r>
          </w:p>
        </w:tc>
        <w:tc>
          <w:tcPr>
            <w:tcW w:w="1035" w:type="pct"/>
            <w:shd w:val="clear" w:color="auto" w:fill="auto"/>
            <w:vAlign w:val="top"/>
          </w:tcPr>
          <w:p w14:paraId="2B9E953E">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lang w:val="en-US" w:eastAsia="zh-CN"/>
              </w:rPr>
              <w:t>尿素+NAM</w:t>
            </w:r>
          </w:p>
        </w:tc>
        <w:tc>
          <w:tcPr>
            <w:tcW w:w="1029" w:type="pct"/>
            <w:vAlign w:val="top"/>
          </w:tcPr>
          <w:p w14:paraId="258D5155">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0.0038</w:t>
            </w:r>
          </w:p>
        </w:tc>
        <w:tc>
          <w:tcPr>
            <w:tcW w:w="678" w:type="pct"/>
            <w:vAlign w:val="top"/>
          </w:tcPr>
          <w:p w14:paraId="01503418">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33.27</w:t>
            </w:r>
          </w:p>
        </w:tc>
        <w:tc>
          <w:tcPr>
            <w:tcW w:w="1029" w:type="pct"/>
            <w:vAlign w:val="top"/>
          </w:tcPr>
          <w:p w14:paraId="51663490">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0.0074</w:t>
            </w:r>
          </w:p>
        </w:tc>
        <w:tc>
          <w:tcPr>
            <w:tcW w:w="679" w:type="pct"/>
            <w:shd w:val="clear" w:color="auto" w:fill="auto"/>
            <w:vAlign w:val="top"/>
          </w:tcPr>
          <w:p w14:paraId="7FDD3C62">
            <w:pPr>
              <w:keepLines w:val="0"/>
              <w:pageBreakBefore w:val="0"/>
              <w:wordWrap/>
              <w:overflowPunct/>
              <w:topLinePunct w:val="0"/>
              <w:bidi w:val="0"/>
              <w:spacing w:line="360" w:lineRule="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lang w:val="en-US" w:eastAsia="zh-CN"/>
              </w:rPr>
              <w:t>25.22</w:t>
            </w:r>
          </w:p>
        </w:tc>
      </w:tr>
      <w:tr w14:paraId="6FD19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8" w:type="pct"/>
            <w:shd w:val="clear" w:color="auto" w:fill="auto"/>
            <w:vAlign w:val="top"/>
          </w:tcPr>
          <w:p w14:paraId="1C87FA65">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（4）</w:t>
            </w:r>
          </w:p>
        </w:tc>
        <w:tc>
          <w:tcPr>
            <w:tcW w:w="1035" w:type="pct"/>
            <w:shd w:val="clear" w:color="auto" w:fill="auto"/>
            <w:vAlign w:val="top"/>
          </w:tcPr>
          <w:p w14:paraId="39A58583">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lang w:val="en-US" w:eastAsia="zh-CN"/>
              </w:rPr>
              <w:t>硫铵</w:t>
            </w:r>
          </w:p>
        </w:tc>
        <w:tc>
          <w:tcPr>
            <w:tcW w:w="1029" w:type="pct"/>
            <w:vAlign w:val="top"/>
          </w:tcPr>
          <w:p w14:paraId="7182D82C">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0.0059</w:t>
            </w:r>
          </w:p>
        </w:tc>
        <w:tc>
          <w:tcPr>
            <w:tcW w:w="678" w:type="pct"/>
            <w:vAlign w:val="top"/>
          </w:tcPr>
          <w:p w14:paraId="752538DE">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1029" w:type="pct"/>
            <w:vAlign w:val="top"/>
          </w:tcPr>
          <w:p w14:paraId="14FAD896">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0.0065</w:t>
            </w:r>
          </w:p>
        </w:tc>
        <w:tc>
          <w:tcPr>
            <w:tcW w:w="679" w:type="pct"/>
            <w:vAlign w:val="top"/>
          </w:tcPr>
          <w:p w14:paraId="2673F2EB">
            <w:pPr>
              <w:keepLines w:val="0"/>
              <w:pageBreakBefore w:val="0"/>
              <w:wordWrap/>
              <w:overflowPunct/>
              <w:topLinePunct w:val="0"/>
              <w:bidi w:val="0"/>
              <w:spacing w:line="360" w:lineRule="auto"/>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w:t>
            </w:r>
          </w:p>
        </w:tc>
      </w:tr>
      <w:tr w14:paraId="3A469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8" w:type="pct"/>
            <w:shd w:val="clear" w:color="auto" w:fill="auto"/>
            <w:vAlign w:val="top"/>
          </w:tcPr>
          <w:p w14:paraId="5A75AD04">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（5）</w:t>
            </w:r>
          </w:p>
        </w:tc>
        <w:tc>
          <w:tcPr>
            <w:tcW w:w="1035" w:type="pct"/>
            <w:vAlign w:val="top"/>
          </w:tcPr>
          <w:p w14:paraId="3694BD1B">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lang w:val="en-US" w:eastAsia="zh-CN"/>
              </w:rPr>
              <w:t>硫铵+DCD</w:t>
            </w:r>
          </w:p>
        </w:tc>
        <w:tc>
          <w:tcPr>
            <w:tcW w:w="1029" w:type="pct"/>
            <w:vAlign w:val="top"/>
          </w:tcPr>
          <w:p w14:paraId="352AE9D1">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0.0035</w:t>
            </w:r>
          </w:p>
        </w:tc>
        <w:tc>
          <w:tcPr>
            <w:tcW w:w="678" w:type="pct"/>
            <w:vAlign w:val="top"/>
          </w:tcPr>
          <w:p w14:paraId="1E5FD00C">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41.15</w:t>
            </w:r>
          </w:p>
        </w:tc>
        <w:tc>
          <w:tcPr>
            <w:tcW w:w="1029" w:type="pct"/>
            <w:vAlign w:val="top"/>
          </w:tcPr>
          <w:p w14:paraId="1A316272">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0.0044</w:t>
            </w:r>
          </w:p>
        </w:tc>
        <w:tc>
          <w:tcPr>
            <w:tcW w:w="679" w:type="pct"/>
            <w:vAlign w:val="top"/>
          </w:tcPr>
          <w:p w14:paraId="4015E6D2">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31.80</w:t>
            </w:r>
          </w:p>
        </w:tc>
      </w:tr>
      <w:tr w14:paraId="63B64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8" w:type="pct"/>
            <w:shd w:val="clear" w:color="auto" w:fill="auto"/>
            <w:vAlign w:val="top"/>
          </w:tcPr>
          <w:p w14:paraId="21FD4722">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（6）</w:t>
            </w:r>
          </w:p>
        </w:tc>
        <w:tc>
          <w:tcPr>
            <w:tcW w:w="1035" w:type="pct"/>
            <w:vAlign w:val="top"/>
          </w:tcPr>
          <w:p w14:paraId="4667FB45">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lang w:val="en-US" w:eastAsia="zh-CN"/>
              </w:rPr>
              <w:t>硫铵+NAM</w:t>
            </w:r>
          </w:p>
        </w:tc>
        <w:tc>
          <w:tcPr>
            <w:tcW w:w="1029" w:type="pct"/>
            <w:vAlign w:val="top"/>
          </w:tcPr>
          <w:p w14:paraId="3954D8F5">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0.0023</w:t>
            </w:r>
          </w:p>
        </w:tc>
        <w:tc>
          <w:tcPr>
            <w:tcW w:w="678" w:type="pct"/>
            <w:vAlign w:val="top"/>
          </w:tcPr>
          <w:p w14:paraId="0B46D49A">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60.89</w:t>
            </w:r>
          </w:p>
        </w:tc>
        <w:tc>
          <w:tcPr>
            <w:tcW w:w="1029" w:type="pct"/>
            <w:vAlign w:val="top"/>
          </w:tcPr>
          <w:p w14:paraId="2A0825F1">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0.0030</w:t>
            </w:r>
          </w:p>
        </w:tc>
        <w:tc>
          <w:tcPr>
            <w:tcW w:w="679" w:type="pct"/>
            <w:vAlign w:val="top"/>
          </w:tcPr>
          <w:p w14:paraId="02E9EBEA">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53.86</w:t>
            </w:r>
          </w:p>
        </w:tc>
      </w:tr>
      <w:tr w14:paraId="3504F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8" w:type="pct"/>
            <w:shd w:val="clear" w:color="auto" w:fill="auto"/>
            <w:vAlign w:val="top"/>
          </w:tcPr>
          <w:p w14:paraId="5CF14669">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（7）</w:t>
            </w:r>
          </w:p>
        </w:tc>
        <w:tc>
          <w:tcPr>
            <w:tcW w:w="1035" w:type="pct"/>
            <w:vAlign w:val="top"/>
          </w:tcPr>
          <w:p w14:paraId="2FE47A3C">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lang w:val="en-US" w:eastAsia="zh-CN"/>
              </w:rPr>
              <w:t>26-10-12</w:t>
            </w:r>
          </w:p>
        </w:tc>
        <w:tc>
          <w:tcPr>
            <w:tcW w:w="1029" w:type="pct"/>
            <w:vAlign w:val="top"/>
          </w:tcPr>
          <w:p w14:paraId="67667EEC">
            <w:pPr>
              <w:keepLines w:val="0"/>
              <w:pageBreakBefore w:val="0"/>
              <w:wordWrap/>
              <w:overflowPunct/>
              <w:topLinePunct w:val="0"/>
              <w:bidi w:val="0"/>
              <w:spacing w:line="360" w:lineRule="auto"/>
              <w:rPr>
                <w:rFonts w:ascii="Times New Roman" w:hAnsi="Times New Roman" w:eastAsia="宋体" w:cs="Times New Roman"/>
                <w:szCs w:val="21"/>
              </w:rPr>
            </w:pPr>
          </w:p>
        </w:tc>
        <w:tc>
          <w:tcPr>
            <w:tcW w:w="678" w:type="pct"/>
            <w:vAlign w:val="top"/>
          </w:tcPr>
          <w:p w14:paraId="697C5B0F">
            <w:pPr>
              <w:keepLines w:val="0"/>
              <w:pageBreakBefore w:val="0"/>
              <w:wordWrap/>
              <w:overflowPunct/>
              <w:topLinePunct w:val="0"/>
              <w:bidi w:val="0"/>
              <w:spacing w:line="360" w:lineRule="auto"/>
              <w:rPr>
                <w:rFonts w:ascii="Times New Roman" w:hAnsi="Times New Roman" w:eastAsia="宋体" w:cs="Times New Roman"/>
                <w:szCs w:val="21"/>
              </w:rPr>
            </w:pPr>
          </w:p>
        </w:tc>
        <w:tc>
          <w:tcPr>
            <w:tcW w:w="1029" w:type="pct"/>
            <w:vAlign w:val="top"/>
          </w:tcPr>
          <w:p w14:paraId="1DAE54B4">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0.043</w:t>
            </w:r>
          </w:p>
        </w:tc>
        <w:tc>
          <w:tcPr>
            <w:tcW w:w="679" w:type="pct"/>
            <w:vAlign w:val="top"/>
          </w:tcPr>
          <w:p w14:paraId="793BB5D2">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w:t>
            </w:r>
          </w:p>
        </w:tc>
      </w:tr>
      <w:tr w14:paraId="2784A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548" w:type="pct"/>
            <w:shd w:val="clear" w:color="auto" w:fill="auto"/>
            <w:vAlign w:val="top"/>
          </w:tcPr>
          <w:p w14:paraId="65B096EC">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（8）</w:t>
            </w:r>
          </w:p>
        </w:tc>
        <w:tc>
          <w:tcPr>
            <w:tcW w:w="1035" w:type="pct"/>
            <w:vAlign w:val="top"/>
          </w:tcPr>
          <w:p w14:paraId="22C60CDF">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lang w:val="en-US" w:eastAsia="zh-CN"/>
              </w:rPr>
              <w:t>26-10-12+NAM</w:t>
            </w:r>
          </w:p>
        </w:tc>
        <w:tc>
          <w:tcPr>
            <w:tcW w:w="1029" w:type="pct"/>
            <w:vAlign w:val="top"/>
          </w:tcPr>
          <w:p w14:paraId="6DA80300">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678" w:type="pct"/>
            <w:vAlign w:val="top"/>
          </w:tcPr>
          <w:p w14:paraId="59444D43">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p>
        </w:tc>
        <w:tc>
          <w:tcPr>
            <w:tcW w:w="1029" w:type="pct"/>
            <w:vAlign w:val="top"/>
          </w:tcPr>
          <w:p w14:paraId="6CF60BA9">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0.039</w:t>
            </w:r>
          </w:p>
        </w:tc>
        <w:tc>
          <w:tcPr>
            <w:tcW w:w="679" w:type="pct"/>
            <w:shd w:val="clear" w:color="auto" w:fill="auto"/>
            <w:vAlign w:val="top"/>
          </w:tcPr>
          <w:p w14:paraId="7AEA558D">
            <w:pPr>
              <w:keepLines w:val="0"/>
              <w:pageBreakBefore w:val="0"/>
              <w:wordWrap/>
              <w:overflowPunct/>
              <w:topLinePunct w:val="0"/>
              <w:bidi w:val="0"/>
              <w:spacing w:line="360" w:lineRule="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lang w:val="en-US" w:eastAsia="zh-CN"/>
              </w:rPr>
              <w:t>8.72</w:t>
            </w:r>
          </w:p>
        </w:tc>
      </w:tr>
      <w:tr w14:paraId="31E47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8" w:type="pct"/>
            <w:vAlign w:val="top"/>
          </w:tcPr>
          <w:p w14:paraId="23E9E2ED">
            <w:pPr>
              <w:keepLines w:val="0"/>
              <w:pageBreakBefore w:val="0"/>
              <w:wordWrap/>
              <w:overflowPunct/>
              <w:topLinePunct w:val="0"/>
              <w:bidi w:val="0"/>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9</w:t>
            </w:r>
            <w:r>
              <w:rPr>
                <w:rFonts w:ascii="Times New Roman" w:hAnsi="Times New Roman" w:eastAsia="宋体" w:cs="Times New Roman"/>
                <w:szCs w:val="21"/>
              </w:rPr>
              <w:t>）</w:t>
            </w:r>
          </w:p>
        </w:tc>
        <w:tc>
          <w:tcPr>
            <w:tcW w:w="1035" w:type="pct"/>
            <w:vAlign w:val="top"/>
          </w:tcPr>
          <w:p w14:paraId="01936507">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lang w:val="en-US" w:eastAsia="zh-CN"/>
              </w:rPr>
              <w:t>28-10-10</w:t>
            </w:r>
          </w:p>
        </w:tc>
        <w:tc>
          <w:tcPr>
            <w:tcW w:w="1029" w:type="pct"/>
            <w:vAlign w:val="top"/>
          </w:tcPr>
          <w:p w14:paraId="7616E5C2">
            <w:pPr>
              <w:keepLines w:val="0"/>
              <w:pageBreakBefore w:val="0"/>
              <w:wordWrap/>
              <w:overflowPunct/>
              <w:topLinePunct w:val="0"/>
              <w:bidi w:val="0"/>
              <w:spacing w:line="360" w:lineRule="auto"/>
              <w:rPr>
                <w:rFonts w:ascii="Times New Roman" w:hAnsi="Times New Roman" w:eastAsia="宋体" w:cs="Times New Roman"/>
                <w:szCs w:val="21"/>
              </w:rPr>
            </w:pPr>
          </w:p>
        </w:tc>
        <w:tc>
          <w:tcPr>
            <w:tcW w:w="678" w:type="pct"/>
            <w:vAlign w:val="top"/>
          </w:tcPr>
          <w:p w14:paraId="023A4D06">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p>
        </w:tc>
        <w:tc>
          <w:tcPr>
            <w:tcW w:w="1029" w:type="pct"/>
            <w:vAlign w:val="top"/>
          </w:tcPr>
          <w:p w14:paraId="432187C8">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0.039</w:t>
            </w:r>
          </w:p>
        </w:tc>
        <w:tc>
          <w:tcPr>
            <w:tcW w:w="679" w:type="pct"/>
            <w:shd w:val="clear" w:color="auto" w:fill="auto"/>
            <w:vAlign w:val="top"/>
          </w:tcPr>
          <w:p w14:paraId="5E036320">
            <w:pPr>
              <w:keepLines w:val="0"/>
              <w:pageBreakBefore w:val="0"/>
              <w:wordWrap/>
              <w:overflowPunct/>
              <w:topLinePunct w:val="0"/>
              <w:bidi w:val="0"/>
              <w:spacing w:line="360" w:lineRule="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w:t>
            </w:r>
          </w:p>
        </w:tc>
      </w:tr>
      <w:tr w14:paraId="5F983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8" w:type="pct"/>
            <w:vAlign w:val="top"/>
          </w:tcPr>
          <w:p w14:paraId="7FCC5F58">
            <w:pPr>
              <w:keepLines w:val="0"/>
              <w:pageBreakBefore w:val="0"/>
              <w:wordWrap/>
              <w:overflowPunct/>
              <w:topLinePunct w:val="0"/>
              <w:bidi w:val="0"/>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10</w:t>
            </w:r>
            <w:r>
              <w:rPr>
                <w:rFonts w:ascii="Times New Roman" w:hAnsi="Times New Roman" w:eastAsia="宋体" w:cs="Times New Roman"/>
                <w:szCs w:val="21"/>
              </w:rPr>
              <w:t>）</w:t>
            </w:r>
          </w:p>
        </w:tc>
        <w:tc>
          <w:tcPr>
            <w:tcW w:w="1035" w:type="pct"/>
            <w:vAlign w:val="top"/>
          </w:tcPr>
          <w:p w14:paraId="72B7351B">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lang w:val="en-US" w:eastAsia="zh-CN"/>
              </w:rPr>
              <w:t>28-10-10+NAM</w:t>
            </w:r>
          </w:p>
        </w:tc>
        <w:tc>
          <w:tcPr>
            <w:tcW w:w="1029" w:type="pct"/>
            <w:vAlign w:val="top"/>
          </w:tcPr>
          <w:p w14:paraId="1FBA2114">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678" w:type="pct"/>
            <w:vAlign w:val="top"/>
          </w:tcPr>
          <w:p w14:paraId="3BF3490D">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1029" w:type="pct"/>
            <w:vAlign w:val="top"/>
          </w:tcPr>
          <w:p w14:paraId="1F2CECE6">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0.036</w:t>
            </w:r>
          </w:p>
        </w:tc>
        <w:tc>
          <w:tcPr>
            <w:tcW w:w="679" w:type="pct"/>
            <w:shd w:val="clear" w:color="auto" w:fill="auto"/>
            <w:vAlign w:val="top"/>
          </w:tcPr>
          <w:p w14:paraId="3FB55243">
            <w:pPr>
              <w:keepLines w:val="0"/>
              <w:pageBreakBefore w:val="0"/>
              <w:wordWrap/>
              <w:overflowPunct/>
              <w:topLinePunct w:val="0"/>
              <w:bidi w:val="0"/>
              <w:spacing w:line="360" w:lineRule="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lang w:val="en-US" w:eastAsia="zh-CN"/>
              </w:rPr>
              <w:t>8.83</w:t>
            </w:r>
          </w:p>
        </w:tc>
      </w:tr>
      <w:tr w14:paraId="16546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8" w:type="pct"/>
            <w:vAlign w:val="top"/>
          </w:tcPr>
          <w:p w14:paraId="4D79784B">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w:t>
            </w:r>
            <w:r>
              <w:rPr>
                <w:rFonts w:hint="eastAsia" w:ascii="Times New Roman" w:hAnsi="Times New Roman" w:eastAsia="宋体" w:cs="Times New Roman"/>
                <w:szCs w:val="21"/>
                <w:lang w:val="en-US" w:eastAsia="zh-CN"/>
              </w:rPr>
              <w:t>11</w:t>
            </w:r>
            <w:r>
              <w:rPr>
                <w:rFonts w:hint="eastAsia" w:ascii="Times New Roman" w:hAnsi="Times New Roman" w:eastAsia="宋体" w:cs="Times New Roman"/>
                <w:szCs w:val="21"/>
              </w:rPr>
              <w:t>）</w:t>
            </w:r>
          </w:p>
        </w:tc>
        <w:tc>
          <w:tcPr>
            <w:tcW w:w="1035" w:type="pct"/>
            <w:vAlign w:val="top"/>
          </w:tcPr>
          <w:p w14:paraId="0CA2BC37">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lang w:val="en-US" w:eastAsia="zh-CN"/>
              </w:rPr>
              <w:t>22-10-10</w:t>
            </w:r>
          </w:p>
        </w:tc>
        <w:tc>
          <w:tcPr>
            <w:tcW w:w="1029" w:type="pct"/>
            <w:vAlign w:val="top"/>
          </w:tcPr>
          <w:p w14:paraId="3A5F9062">
            <w:pPr>
              <w:keepLines w:val="0"/>
              <w:pageBreakBefore w:val="0"/>
              <w:wordWrap/>
              <w:overflowPunct/>
              <w:topLinePunct w:val="0"/>
              <w:bidi w:val="0"/>
              <w:spacing w:line="360" w:lineRule="auto"/>
              <w:rPr>
                <w:rFonts w:ascii="Times New Roman" w:hAnsi="Times New Roman" w:eastAsia="宋体" w:cs="Times New Roman"/>
                <w:szCs w:val="21"/>
              </w:rPr>
            </w:pPr>
          </w:p>
        </w:tc>
        <w:tc>
          <w:tcPr>
            <w:tcW w:w="678" w:type="pct"/>
            <w:vAlign w:val="top"/>
          </w:tcPr>
          <w:p w14:paraId="021A988E">
            <w:pPr>
              <w:keepLines w:val="0"/>
              <w:pageBreakBefore w:val="0"/>
              <w:wordWrap/>
              <w:overflowPunct/>
              <w:topLinePunct w:val="0"/>
              <w:bidi w:val="0"/>
              <w:spacing w:line="360" w:lineRule="auto"/>
              <w:rPr>
                <w:rFonts w:ascii="Times New Roman" w:hAnsi="Times New Roman" w:eastAsia="宋体" w:cs="Times New Roman"/>
                <w:szCs w:val="21"/>
              </w:rPr>
            </w:pPr>
          </w:p>
        </w:tc>
        <w:tc>
          <w:tcPr>
            <w:tcW w:w="1029" w:type="pct"/>
            <w:vAlign w:val="top"/>
          </w:tcPr>
          <w:p w14:paraId="1EDCBBAF">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0.033</w:t>
            </w:r>
          </w:p>
        </w:tc>
        <w:tc>
          <w:tcPr>
            <w:tcW w:w="679" w:type="pct"/>
            <w:shd w:val="clear" w:color="auto" w:fill="auto"/>
            <w:vAlign w:val="top"/>
          </w:tcPr>
          <w:p w14:paraId="7529CC50">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w:t>
            </w:r>
          </w:p>
        </w:tc>
      </w:tr>
      <w:tr w14:paraId="5A95D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8" w:type="pct"/>
            <w:vAlign w:val="top"/>
          </w:tcPr>
          <w:p w14:paraId="0499E7CD">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w:t>
            </w:r>
            <w:r>
              <w:rPr>
                <w:rFonts w:hint="eastAsia" w:ascii="Times New Roman" w:hAnsi="Times New Roman" w:eastAsia="宋体" w:cs="Times New Roman"/>
                <w:szCs w:val="21"/>
                <w:lang w:val="en-US" w:eastAsia="zh-CN"/>
              </w:rPr>
              <w:t>12</w:t>
            </w:r>
            <w:r>
              <w:rPr>
                <w:rFonts w:hint="eastAsia" w:ascii="Times New Roman" w:hAnsi="Times New Roman" w:eastAsia="宋体" w:cs="Times New Roman"/>
                <w:szCs w:val="21"/>
              </w:rPr>
              <w:t>）</w:t>
            </w:r>
          </w:p>
        </w:tc>
        <w:tc>
          <w:tcPr>
            <w:tcW w:w="1035" w:type="pct"/>
            <w:vAlign w:val="top"/>
          </w:tcPr>
          <w:p w14:paraId="133EECAB">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lang w:val="en-US" w:eastAsia="zh-CN"/>
              </w:rPr>
              <w:t>22-10-10+NAM</w:t>
            </w:r>
          </w:p>
        </w:tc>
        <w:tc>
          <w:tcPr>
            <w:tcW w:w="1029" w:type="pct"/>
            <w:vAlign w:val="top"/>
          </w:tcPr>
          <w:p w14:paraId="29043FC5">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678" w:type="pct"/>
            <w:vAlign w:val="top"/>
          </w:tcPr>
          <w:p w14:paraId="28D31B90">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1029" w:type="pct"/>
            <w:vAlign w:val="top"/>
          </w:tcPr>
          <w:p w14:paraId="14B3A71C">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0.026</w:t>
            </w:r>
          </w:p>
        </w:tc>
        <w:tc>
          <w:tcPr>
            <w:tcW w:w="679" w:type="pct"/>
            <w:shd w:val="clear" w:color="auto" w:fill="auto"/>
            <w:vAlign w:val="top"/>
          </w:tcPr>
          <w:p w14:paraId="11E2FA0B">
            <w:pPr>
              <w:keepLines w:val="0"/>
              <w:pageBreakBefore w:val="0"/>
              <w:wordWrap/>
              <w:overflowPunct/>
              <w:topLinePunct w:val="0"/>
              <w:bidi w:val="0"/>
              <w:spacing w:line="360" w:lineRule="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20.99</w:t>
            </w:r>
          </w:p>
        </w:tc>
      </w:tr>
      <w:tr w14:paraId="2F82D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8" w:type="pct"/>
            <w:vAlign w:val="top"/>
          </w:tcPr>
          <w:p w14:paraId="53CCB670">
            <w:pPr>
              <w:keepLines w:val="0"/>
              <w:pageBreakBefore w:val="0"/>
              <w:wordWrap/>
              <w:overflowPunct/>
              <w:topLinePunct w:val="0"/>
              <w:bidi w:val="0"/>
              <w:spacing w:line="360" w:lineRule="auto"/>
              <w:rPr>
                <w:rFonts w:hint="eastAsia" w:ascii="Times New Roman" w:hAnsi="Times New Roman" w:eastAsia="宋体" w:cs="Times New Roman"/>
                <w:szCs w:val="21"/>
                <w:lang w:eastAsia="zh-CN"/>
              </w:rPr>
            </w:pP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lang w:val="en-US" w:eastAsia="zh-CN"/>
              </w:rPr>
              <w:t>13</w:t>
            </w:r>
            <w:r>
              <w:rPr>
                <w:rFonts w:hint="eastAsia" w:ascii="Times New Roman" w:hAnsi="Times New Roman" w:eastAsia="宋体" w:cs="Times New Roman"/>
                <w:szCs w:val="21"/>
                <w:lang w:eastAsia="zh-CN"/>
              </w:rPr>
              <w:t>）</w:t>
            </w:r>
          </w:p>
        </w:tc>
        <w:tc>
          <w:tcPr>
            <w:tcW w:w="1035" w:type="pct"/>
            <w:vAlign w:val="top"/>
          </w:tcPr>
          <w:p w14:paraId="49CE8981">
            <w:pPr>
              <w:keepLines w:val="0"/>
              <w:pageBreakBefore w:val="0"/>
              <w:wordWrap/>
              <w:overflowPunct/>
              <w:topLinePunct w:val="0"/>
              <w:bidi w:val="0"/>
              <w:spacing w:line="360" w:lineRule="auto"/>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碳铵</w:t>
            </w:r>
          </w:p>
        </w:tc>
        <w:tc>
          <w:tcPr>
            <w:tcW w:w="1029" w:type="pct"/>
            <w:vAlign w:val="top"/>
          </w:tcPr>
          <w:p w14:paraId="7CE55D24">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678" w:type="pct"/>
            <w:vAlign w:val="top"/>
          </w:tcPr>
          <w:p w14:paraId="422FD419">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p>
        </w:tc>
        <w:tc>
          <w:tcPr>
            <w:tcW w:w="1029" w:type="pct"/>
            <w:vAlign w:val="top"/>
          </w:tcPr>
          <w:p w14:paraId="22C77CF7">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0.016</w:t>
            </w:r>
          </w:p>
        </w:tc>
        <w:tc>
          <w:tcPr>
            <w:tcW w:w="679" w:type="pct"/>
            <w:vAlign w:val="top"/>
          </w:tcPr>
          <w:p w14:paraId="16791B26">
            <w:pPr>
              <w:keepLines w:val="0"/>
              <w:pageBreakBefore w:val="0"/>
              <w:wordWrap/>
              <w:overflowPunct/>
              <w:topLinePunct w:val="0"/>
              <w:bidi w:val="0"/>
              <w:spacing w:line="360" w:lineRule="auto"/>
              <w:rPr>
                <w:rFonts w:hint="eastAsia" w:ascii="Times New Roman" w:hAnsi="Times New Roman" w:eastAsia="宋体" w:cs="Times New Roman"/>
                <w:szCs w:val="21"/>
                <w:lang w:eastAsia="zh-CN"/>
              </w:rPr>
            </w:pPr>
            <w:r>
              <w:rPr>
                <w:rFonts w:hint="eastAsia" w:ascii="Times New Roman" w:hAnsi="Times New Roman" w:eastAsia="宋体" w:cs="Times New Roman"/>
                <w:szCs w:val="21"/>
                <w:lang w:eastAsia="zh-CN"/>
              </w:rPr>
              <w:t>—</w:t>
            </w:r>
          </w:p>
        </w:tc>
      </w:tr>
      <w:tr w14:paraId="7B95C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8" w:type="pct"/>
            <w:vAlign w:val="top"/>
          </w:tcPr>
          <w:p w14:paraId="5C59E8EC">
            <w:pPr>
              <w:keepLines w:val="0"/>
              <w:pageBreakBefore w:val="0"/>
              <w:wordWrap/>
              <w:overflowPunct/>
              <w:topLinePunct w:val="0"/>
              <w:bidi w:val="0"/>
              <w:spacing w:line="360" w:lineRule="auto"/>
              <w:rPr>
                <w:rFonts w:hint="eastAsia" w:ascii="Times New Roman" w:hAnsi="Times New Roman" w:eastAsia="宋体" w:cs="Times New Roman"/>
                <w:szCs w:val="21"/>
                <w:lang w:eastAsia="zh-CN"/>
              </w:rPr>
            </w:pP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lang w:val="en-US" w:eastAsia="zh-CN"/>
              </w:rPr>
              <w:t>14</w:t>
            </w:r>
            <w:r>
              <w:rPr>
                <w:rFonts w:hint="eastAsia" w:ascii="Times New Roman" w:hAnsi="Times New Roman" w:eastAsia="宋体" w:cs="Times New Roman"/>
                <w:szCs w:val="21"/>
                <w:lang w:eastAsia="zh-CN"/>
              </w:rPr>
              <w:t>）</w:t>
            </w:r>
          </w:p>
        </w:tc>
        <w:tc>
          <w:tcPr>
            <w:tcW w:w="1035" w:type="pct"/>
            <w:vAlign w:val="top"/>
          </w:tcPr>
          <w:p w14:paraId="674051B7">
            <w:pPr>
              <w:keepLines w:val="0"/>
              <w:pageBreakBefore w:val="0"/>
              <w:wordWrap/>
              <w:overflowPunct/>
              <w:topLinePunct w:val="0"/>
              <w:bidi w:val="0"/>
              <w:spacing w:line="360" w:lineRule="auto"/>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碳铵+DCD</w:t>
            </w:r>
          </w:p>
        </w:tc>
        <w:tc>
          <w:tcPr>
            <w:tcW w:w="1029" w:type="pct"/>
            <w:vAlign w:val="top"/>
          </w:tcPr>
          <w:p w14:paraId="3499333F">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678" w:type="pct"/>
            <w:vAlign w:val="top"/>
          </w:tcPr>
          <w:p w14:paraId="63768346">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p>
        </w:tc>
        <w:tc>
          <w:tcPr>
            <w:tcW w:w="1029" w:type="pct"/>
            <w:vAlign w:val="top"/>
          </w:tcPr>
          <w:p w14:paraId="52A56ED0">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0.013</w:t>
            </w:r>
          </w:p>
        </w:tc>
        <w:tc>
          <w:tcPr>
            <w:tcW w:w="679" w:type="pct"/>
            <w:shd w:val="clear" w:color="auto" w:fill="auto"/>
            <w:vAlign w:val="top"/>
          </w:tcPr>
          <w:p w14:paraId="0B56A5FF">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lang w:val="en-US" w:eastAsia="zh-CN"/>
              </w:rPr>
              <w:t>19.71</w:t>
            </w:r>
          </w:p>
        </w:tc>
      </w:tr>
      <w:tr w14:paraId="6EE29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8" w:type="pct"/>
            <w:vAlign w:val="top"/>
          </w:tcPr>
          <w:p w14:paraId="4D1DC044">
            <w:pPr>
              <w:keepLines w:val="0"/>
              <w:pageBreakBefore w:val="0"/>
              <w:wordWrap/>
              <w:overflowPunct/>
              <w:topLinePunct w:val="0"/>
              <w:bidi w:val="0"/>
              <w:spacing w:line="360" w:lineRule="auto"/>
              <w:rPr>
                <w:rFonts w:hint="eastAsia" w:ascii="Times New Roman" w:hAnsi="Times New Roman" w:eastAsia="宋体" w:cs="Times New Roman"/>
                <w:szCs w:val="21"/>
                <w:lang w:eastAsia="zh-CN"/>
              </w:rPr>
            </w:pP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lang w:val="en-US" w:eastAsia="zh-CN"/>
              </w:rPr>
              <w:t>15</w:t>
            </w:r>
            <w:r>
              <w:rPr>
                <w:rFonts w:hint="eastAsia" w:ascii="Times New Roman" w:hAnsi="Times New Roman" w:eastAsia="宋体" w:cs="Times New Roman"/>
                <w:szCs w:val="21"/>
                <w:lang w:eastAsia="zh-CN"/>
              </w:rPr>
              <w:t>）</w:t>
            </w:r>
          </w:p>
        </w:tc>
        <w:tc>
          <w:tcPr>
            <w:tcW w:w="1035" w:type="pct"/>
            <w:vAlign w:val="top"/>
          </w:tcPr>
          <w:p w14:paraId="0ADE04B5">
            <w:pPr>
              <w:keepLines w:val="0"/>
              <w:pageBreakBefore w:val="0"/>
              <w:wordWrap/>
              <w:overflowPunct/>
              <w:topLinePunct w:val="0"/>
              <w:bidi w:val="0"/>
              <w:spacing w:line="360" w:lineRule="auto"/>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碳铵+NAM</w:t>
            </w:r>
          </w:p>
        </w:tc>
        <w:tc>
          <w:tcPr>
            <w:tcW w:w="1029" w:type="pct"/>
            <w:vAlign w:val="top"/>
          </w:tcPr>
          <w:p w14:paraId="7B6DE2BC">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678" w:type="pct"/>
            <w:vAlign w:val="top"/>
          </w:tcPr>
          <w:p w14:paraId="4DE2110B">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p>
        </w:tc>
        <w:tc>
          <w:tcPr>
            <w:tcW w:w="1029" w:type="pct"/>
            <w:vAlign w:val="top"/>
          </w:tcPr>
          <w:p w14:paraId="3EF41E04">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0.013</w:t>
            </w:r>
          </w:p>
        </w:tc>
        <w:tc>
          <w:tcPr>
            <w:tcW w:w="679" w:type="pct"/>
            <w:shd w:val="clear" w:color="auto" w:fill="auto"/>
            <w:vAlign w:val="top"/>
          </w:tcPr>
          <w:p w14:paraId="412909E9">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lang w:val="en-US" w:eastAsia="zh-CN"/>
              </w:rPr>
              <w:t>19.70</w:t>
            </w:r>
          </w:p>
        </w:tc>
      </w:tr>
    </w:tbl>
    <w:p w14:paraId="59D30F59">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1.3 小结</w:t>
      </w:r>
    </w:p>
    <w:p w14:paraId="6FF675D5">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sz w:val="24"/>
          <w:szCs w:val="24"/>
          <w:lang w:val="en-US" w:eastAsia="zh-CN"/>
        </w:rPr>
        <w:t>土壤硝化潜势测定方法（氨氧化快速检测法），可用于评价稳定性肥料的硝化抑制效率。</w:t>
      </w:r>
    </w:p>
    <w:p w14:paraId="369139A4">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0" w:firstLineChars="0"/>
        <w:textAlignment w:val="auto"/>
        <w:rPr>
          <w:rFonts w:hint="default" w:ascii="Times New Roman" w:hAnsi="Times New Roman" w:eastAsia="宋体" w:cs="Times New Roman"/>
          <w:b/>
          <w:bCs w:val="0"/>
          <w:sz w:val="24"/>
          <w:szCs w:val="24"/>
          <w:lang w:val="en-US" w:eastAsia="zh-CN"/>
        </w:rPr>
      </w:pPr>
      <w:r>
        <w:rPr>
          <w:rFonts w:hint="eastAsia" w:ascii="Times New Roman" w:hAnsi="Times New Roman" w:eastAsia="宋体" w:cs="Times New Roman"/>
          <w:b/>
          <w:bCs w:val="0"/>
          <w:sz w:val="24"/>
          <w:szCs w:val="24"/>
          <w:lang w:val="en-US" w:eastAsia="zh-CN"/>
        </w:rPr>
        <w:t>2、硝化潜势测定方法验证</w:t>
      </w:r>
    </w:p>
    <w:p w14:paraId="632DC1C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bCs/>
          <w:color w:val="auto"/>
          <w:sz w:val="24"/>
          <w:szCs w:val="24"/>
          <w:lang w:val="en-US" w:eastAsia="zh-CN"/>
        </w:rPr>
        <w:t>2025年4月，</w:t>
      </w:r>
      <w:r>
        <w:rPr>
          <w:rFonts w:hint="eastAsia" w:ascii="Times New Roman" w:hAnsi="Times New Roman" w:eastAsia="宋体" w:cs="Times New Roman"/>
          <w:color w:val="auto"/>
          <w:sz w:val="24"/>
          <w:szCs w:val="24"/>
          <w:lang w:val="en-US" w:eastAsia="zh-CN"/>
        </w:rPr>
        <w:t>向稳定性肥料生产企业收集了22个稳定性肥料产品，进行硝化潜势测定方法（氨氧化快速检测法）的检验。</w:t>
      </w:r>
    </w:p>
    <w:p w14:paraId="5948A53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2.1 材料与方法</w:t>
      </w:r>
    </w:p>
    <w:p w14:paraId="47DC60D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kern w:val="2"/>
          <w:sz w:val="24"/>
          <w:szCs w:val="24"/>
          <w:lang w:val="en-US" w:eastAsia="zh-CN" w:bidi="ar-SA"/>
        </w:rPr>
        <w:t>2.1.1</w:t>
      </w:r>
      <w:r>
        <w:rPr>
          <w:rFonts w:hint="eastAsia" w:ascii="Times New Roman" w:hAnsi="Times New Roman" w:eastAsia="宋体" w:cs="Times New Roman"/>
          <w:sz w:val="24"/>
          <w:szCs w:val="24"/>
          <w:lang w:val="en-US" w:eastAsia="zh-CN"/>
        </w:rPr>
        <w:t>供试肥料</w:t>
      </w:r>
    </w:p>
    <w:p w14:paraId="75A92E8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szCs w:val="21"/>
          <w:lang w:val="en-US" w:eastAsia="zh-CN"/>
        </w:rPr>
      </w:pPr>
      <w:r>
        <w:rPr>
          <w:rFonts w:hint="eastAsia" w:ascii="Times New Roman" w:hAnsi="Times New Roman" w:eastAsia="宋体" w:cs="Times New Roman"/>
          <w:b/>
          <w:bCs/>
          <w:szCs w:val="21"/>
          <w:lang w:val="en-US" w:eastAsia="zh-CN"/>
        </w:rPr>
        <w:t>表3  22个稳定性肥料信息表</w:t>
      </w:r>
    </w:p>
    <w:tbl>
      <w:tblPr>
        <w:tblStyle w:val="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6"/>
        <w:gridCol w:w="2803"/>
        <w:gridCol w:w="2245"/>
        <w:gridCol w:w="2246"/>
      </w:tblGrid>
      <w:tr w14:paraId="599A6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19" w:type="pct"/>
          </w:tcPr>
          <w:p w14:paraId="53D0E176">
            <w:pPr>
              <w:keepLines w:val="0"/>
              <w:pageBreakBefore w:val="0"/>
              <w:wordWrap/>
              <w:overflowPunct/>
              <w:topLinePunct w:val="0"/>
              <w:bidi w:val="0"/>
              <w:spacing w:line="360" w:lineRule="auto"/>
              <w:rPr>
                <w:rFonts w:ascii="Times New Roman" w:hAnsi="Times New Roman" w:eastAsia="宋体" w:cs="Times New Roman"/>
                <w:szCs w:val="21"/>
              </w:rPr>
            </w:pPr>
          </w:p>
        </w:tc>
        <w:tc>
          <w:tcPr>
            <w:tcW w:w="1644" w:type="pct"/>
            <w:vAlign w:val="center"/>
          </w:tcPr>
          <w:p w14:paraId="76B17AF6">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b/>
                <w:bCs/>
                <w:sz w:val="18"/>
                <w:szCs w:val="18"/>
              </w:rPr>
            </w:pPr>
            <w:r>
              <w:rPr>
                <w:rStyle w:val="14"/>
                <w:lang w:val="en-US" w:eastAsia="zh-CN" w:bidi="ar"/>
              </w:rPr>
              <w:t>厂家</w:t>
            </w:r>
          </w:p>
        </w:tc>
        <w:tc>
          <w:tcPr>
            <w:tcW w:w="1317" w:type="pct"/>
            <w:vAlign w:val="center"/>
          </w:tcPr>
          <w:p w14:paraId="64173498">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b/>
                <w:bCs/>
                <w:sz w:val="18"/>
                <w:szCs w:val="18"/>
                <w:lang w:val="en-US" w:eastAsia="zh-CN"/>
              </w:rPr>
            </w:pPr>
            <w:r>
              <w:rPr>
                <w:rStyle w:val="14"/>
                <w:lang w:val="en-US" w:eastAsia="zh-CN" w:bidi="ar"/>
              </w:rPr>
              <w:t>配方</w:t>
            </w:r>
          </w:p>
        </w:tc>
        <w:tc>
          <w:tcPr>
            <w:tcW w:w="1317" w:type="pct"/>
            <w:vAlign w:val="center"/>
          </w:tcPr>
          <w:p w14:paraId="42C3EE4B">
            <w:pPr>
              <w:keepNext w:val="0"/>
              <w:keepLines w:val="0"/>
              <w:pageBreakBefore w:val="0"/>
              <w:widowControl/>
              <w:suppressLineNumbers w:val="0"/>
              <w:wordWrap/>
              <w:overflowPunct/>
              <w:topLinePunct w:val="0"/>
              <w:bidi w:val="0"/>
              <w:spacing w:line="360" w:lineRule="auto"/>
              <w:jc w:val="center"/>
              <w:textAlignment w:val="center"/>
              <w:rPr>
                <w:rStyle w:val="14"/>
                <w:rFonts w:hint="default"/>
                <w:lang w:val="en-US" w:eastAsia="zh-CN" w:bidi="ar"/>
              </w:rPr>
            </w:pPr>
            <w:r>
              <w:rPr>
                <w:rStyle w:val="14"/>
                <w:rFonts w:hint="eastAsia"/>
                <w:lang w:val="en-US" w:eastAsia="zh-CN" w:bidi="ar"/>
              </w:rPr>
              <w:t>尿素含量%</w:t>
            </w:r>
          </w:p>
        </w:tc>
      </w:tr>
      <w:tr w14:paraId="57C7F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pct"/>
          </w:tcPr>
          <w:p w14:paraId="28F1AA4D">
            <w:pPr>
              <w:keepLines w:val="0"/>
              <w:pageBreakBefore w:val="0"/>
              <w:wordWrap/>
              <w:overflowPunct/>
              <w:topLinePunct w:val="0"/>
              <w:bidi w:val="0"/>
              <w:spacing w:line="360" w:lineRule="auto"/>
              <w:rPr>
                <w:rFonts w:ascii="Times New Roman" w:hAnsi="Times New Roman" w:eastAsia="宋体" w:cs="Times New Roman"/>
                <w:szCs w:val="21"/>
              </w:rPr>
            </w:pPr>
            <w:r>
              <w:rPr>
                <w:rFonts w:ascii="Times New Roman" w:hAnsi="Times New Roman" w:eastAsia="宋体" w:cs="Times New Roman"/>
                <w:szCs w:val="21"/>
              </w:rPr>
              <w:t>（1）</w:t>
            </w:r>
          </w:p>
        </w:tc>
        <w:tc>
          <w:tcPr>
            <w:tcW w:w="1644" w:type="pct"/>
            <w:vAlign w:val="center"/>
          </w:tcPr>
          <w:p w14:paraId="25FEB41F">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蓝天宝丰</w:t>
            </w:r>
          </w:p>
        </w:tc>
        <w:tc>
          <w:tcPr>
            <w:tcW w:w="1317" w:type="pct"/>
            <w:vAlign w:val="center"/>
          </w:tcPr>
          <w:p w14:paraId="5B6C0DA0">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20-0-5</w:t>
            </w:r>
          </w:p>
        </w:tc>
        <w:tc>
          <w:tcPr>
            <w:tcW w:w="2246" w:type="dxa"/>
            <w:vAlign w:val="bottom"/>
          </w:tcPr>
          <w:p w14:paraId="5E7BA7A6">
            <w:pPr>
              <w:keepNext w:val="0"/>
              <w:keepLines w:val="0"/>
              <w:pageBreakBefore w:val="0"/>
              <w:widowControl/>
              <w:suppressLineNumbers w:val="0"/>
              <w:wordWrap/>
              <w:overflowPunct/>
              <w:topLinePunct w:val="0"/>
              <w:bidi w:val="0"/>
              <w:spacing w:line="360" w:lineRule="auto"/>
              <w:jc w:val="left"/>
              <w:textAlignment w:val="bottom"/>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6.93</w:t>
            </w:r>
          </w:p>
        </w:tc>
      </w:tr>
      <w:tr w14:paraId="2C4F0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pct"/>
          </w:tcPr>
          <w:p w14:paraId="4292A7E4">
            <w:pPr>
              <w:keepLines w:val="0"/>
              <w:pageBreakBefore w:val="0"/>
              <w:wordWrap/>
              <w:overflowPunct/>
              <w:topLinePunct w:val="0"/>
              <w:bidi w:val="0"/>
              <w:spacing w:line="360" w:lineRule="auto"/>
              <w:rPr>
                <w:rFonts w:ascii="Times New Roman" w:hAnsi="Times New Roman" w:eastAsia="宋体" w:cs="Times New Roman"/>
                <w:szCs w:val="21"/>
              </w:rPr>
            </w:pPr>
            <w:r>
              <w:rPr>
                <w:rFonts w:ascii="Times New Roman" w:hAnsi="Times New Roman" w:eastAsia="宋体" w:cs="Times New Roman"/>
                <w:szCs w:val="21"/>
              </w:rPr>
              <w:t>（2）</w:t>
            </w:r>
          </w:p>
        </w:tc>
        <w:tc>
          <w:tcPr>
            <w:tcW w:w="1644" w:type="pct"/>
            <w:vAlign w:val="center"/>
          </w:tcPr>
          <w:p w14:paraId="7D6610AB">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蓝天宝丰</w:t>
            </w:r>
          </w:p>
        </w:tc>
        <w:tc>
          <w:tcPr>
            <w:tcW w:w="1317" w:type="pct"/>
            <w:vAlign w:val="center"/>
          </w:tcPr>
          <w:p w14:paraId="59D2EDC4">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20-5-7</w:t>
            </w:r>
          </w:p>
        </w:tc>
        <w:tc>
          <w:tcPr>
            <w:tcW w:w="2246" w:type="dxa"/>
            <w:vAlign w:val="bottom"/>
          </w:tcPr>
          <w:p w14:paraId="6F4F0B35">
            <w:pPr>
              <w:keepNext w:val="0"/>
              <w:keepLines w:val="0"/>
              <w:pageBreakBefore w:val="0"/>
              <w:widowControl/>
              <w:suppressLineNumbers w:val="0"/>
              <w:wordWrap/>
              <w:overflowPunct/>
              <w:topLinePunct w:val="0"/>
              <w:bidi w:val="0"/>
              <w:spacing w:line="360" w:lineRule="auto"/>
              <w:jc w:val="left"/>
              <w:textAlignment w:val="bottom"/>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11.04</w:t>
            </w:r>
          </w:p>
        </w:tc>
      </w:tr>
      <w:tr w14:paraId="13A61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pct"/>
            <w:shd w:val="clear" w:color="auto" w:fill="auto"/>
            <w:vAlign w:val="top"/>
          </w:tcPr>
          <w:p w14:paraId="162F71E9">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（3）</w:t>
            </w:r>
          </w:p>
        </w:tc>
        <w:tc>
          <w:tcPr>
            <w:tcW w:w="1644" w:type="pct"/>
            <w:shd w:val="clear" w:color="auto" w:fill="auto"/>
            <w:vAlign w:val="center"/>
          </w:tcPr>
          <w:p w14:paraId="4F426147">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4"/>
                <w:szCs w:val="24"/>
                <w:u w:val="none"/>
                <w:lang w:val="en-US" w:eastAsia="zh-CN" w:bidi="ar"/>
              </w:rPr>
              <w:t>蓝天宝丰</w:t>
            </w:r>
          </w:p>
        </w:tc>
        <w:tc>
          <w:tcPr>
            <w:tcW w:w="1317" w:type="pct"/>
            <w:vAlign w:val="center"/>
          </w:tcPr>
          <w:p w14:paraId="06C573FF">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24-6-10</w:t>
            </w:r>
          </w:p>
        </w:tc>
        <w:tc>
          <w:tcPr>
            <w:tcW w:w="2246" w:type="dxa"/>
            <w:vAlign w:val="bottom"/>
          </w:tcPr>
          <w:p w14:paraId="03C2CD07">
            <w:pPr>
              <w:keepNext w:val="0"/>
              <w:keepLines w:val="0"/>
              <w:pageBreakBefore w:val="0"/>
              <w:widowControl/>
              <w:suppressLineNumbers w:val="0"/>
              <w:wordWrap/>
              <w:overflowPunct/>
              <w:topLinePunct w:val="0"/>
              <w:bidi w:val="0"/>
              <w:spacing w:line="360" w:lineRule="auto"/>
              <w:jc w:val="left"/>
              <w:textAlignment w:val="bottom"/>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36.35</w:t>
            </w:r>
          </w:p>
        </w:tc>
      </w:tr>
      <w:tr w14:paraId="2029E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pct"/>
            <w:shd w:val="clear" w:color="auto" w:fill="auto"/>
            <w:vAlign w:val="top"/>
          </w:tcPr>
          <w:p w14:paraId="3E08A510">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（4）</w:t>
            </w:r>
          </w:p>
        </w:tc>
        <w:tc>
          <w:tcPr>
            <w:tcW w:w="1644" w:type="pct"/>
            <w:shd w:val="clear" w:color="auto" w:fill="auto"/>
            <w:vAlign w:val="center"/>
          </w:tcPr>
          <w:p w14:paraId="7271F7F6">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4"/>
                <w:szCs w:val="24"/>
                <w:u w:val="none"/>
                <w:lang w:val="en-US" w:eastAsia="zh-CN" w:bidi="ar"/>
              </w:rPr>
              <w:t>湖北诺维尔</w:t>
            </w:r>
          </w:p>
        </w:tc>
        <w:tc>
          <w:tcPr>
            <w:tcW w:w="1317" w:type="pct"/>
            <w:vAlign w:val="center"/>
          </w:tcPr>
          <w:p w14:paraId="723E86B2">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szCs w:val="21"/>
                <w:lang w:val="en-US" w:eastAsia="zh-CN"/>
              </w:rPr>
            </w:pPr>
            <w:r>
              <w:rPr>
                <w:rFonts w:hint="default" w:ascii="Times New Roman" w:hAnsi="Times New Roman" w:eastAsia="宋体" w:cs="Times New Roman"/>
                <w:i w:val="0"/>
                <w:iCs w:val="0"/>
                <w:color w:val="000000"/>
                <w:kern w:val="0"/>
                <w:sz w:val="24"/>
                <w:szCs w:val="24"/>
                <w:u w:val="none"/>
                <w:lang w:val="en-US" w:eastAsia="zh-CN" w:bidi="ar"/>
              </w:rPr>
              <w:t>27-10-13</w:t>
            </w:r>
          </w:p>
        </w:tc>
        <w:tc>
          <w:tcPr>
            <w:tcW w:w="2246" w:type="dxa"/>
            <w:vAlign w:val="bottom"/>
          </w:tcPr>
          <w:p w14:paraId="08E8BE6F">
            <w:pPr>
              <w:keepNext w:val="0"/>
              <w:keepLines w:val="0"/>
              <w:pageBreakBefore w:val="0"/>
              <w:widowControl/>
              <w:suppressLineNumbers w:val="0"/>
              <w:wordWrap/>
              <w:overflowPunct/>
              <w:topLinePunct w:val="0"/>
              <w:bidi w:val="0"/>
              <w:spacing w:line="360" w:lineRule="auto"/>
              <w:jc w:val="left"/>
              <w:textAlignment w:val="bottom"/>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53.54</w:t>
            </w:r>
          </w:p>
        </w:tc>
      </w:tr>
      <w:tr w14:paraId="710D6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pct"/>
            <w:shd w:val="clear" w:color="auto" w:fill="auto"/>
            <w:vAlign w:val="top"/>
          </w:tcPr>
          <w:p w14:paraId="3C4DFE4A">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（5）</w:t>
            </w:r>
          </w:p>
        </w:tc>
        <w:tc>
          <w:tcPr>
            <w:tcW w:w="1644" w:type="pct"/>
            <w:vAlign w:val="center"/>
          </w:tcPr>
          <w:p w14:paraId="0D55FC0E">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湖北诺维尔</w:t>
            </w:r>
          </w:p>
        </w:tc>
        <w:tc>
          <w:tcPr>
            <w:tcW w:w="1317" w:type="pct"/>
            <w:vAlign w:val="center"/>
          </w:tcPr>
          <w:p w14:paraId="4F4021D2">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szCs w:val="21"/>
                <w:lang w:val="en-US" w:eastAsia="zh-CN"/>
              </w:rPr>
            </w:pPr>
            <w:r>
              <w:rPr>
                <w:rFonts w:hint="default" w:ascii="Times New Roman" w:hAnsi="Times New Roman" w:eastAsia="宋体" w:cs="Times New Roman"/>
                <w:i w:val="0"/>
                <w:iCs w:val="0"/>
                <w:color w:val="000000"/>
                <w:kern w:val="0"/>
                <w:sz w:val="24"/>
                <w:szCs w:val="24"/>
                <w:u w:val="none"/>
                <w:lang w:val="en-US" w:eastAsia="zh-CN" w:bidi="ar"/>
              </w:rPr>
              <w:t>29-5-6</w:t>
            </w:r>
          </w:p>
        </w:tc>
        <w:tc>
          <w:tcPr>
            <w:tcW w:w="2246" w:type="dxa"/>
            <w:vAlign w:val="bottom"/>
          </w:tcPr>
          <w:p w14:paraId="6277A23E">
            <w:pPr>
              <w:keepNext w:val="0"/>
              <w:keepLines w:val="0"/>
              <w:pageBreakBefore w:val="0"/>
              <w:widowControl/>
              <w:suppressLineNumbers w:val="0"/>
              <w:wordWrap/>
              <w:overflowPunct/>
              <w:topLinePunct w:val="0"/>
              <w:bidi w:val="0"/>
              <w:spacing w:line="360" w:lineRule="auto"/>
              <w:jc w:val="left"/>
              <w:textAlignment w:val="bottom"/>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54.14</w:t>
            </w:r>
          </w:p>
        </w:tc>
      </w:tr>
      <w:tr w14:paraId="34884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pct"/>
            <w:shd w:val="clear" w:color="auto" w:fill="auto"/>
            <w:vAlign w:val="top"/>
          </w:tcPr>
          <w:p w14:paraId="14999171">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（6）</w:t>
            </w:r>
          </w:p>
        </w:tc>
        <w:tc>
          <w:tcPr>
            <w:tcW w:w="1644" w:type="pct"/>
            <w:vAlign w:val="center"/>
          </w:tcPr>
          <w:p w14:paraId="20D1BC6D">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南宁九禾</w:t>
            </w:r>
          </w:p>
        </w:tc>
        <w:tc>
          <w:tcPr>
            <w:tcW w:w="1317" w:type="pct"/>
            <w:vAlign w:val="center"/>
          </w:tcPr>
          <w:p w14:paraId="1C2FA917">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szCs w:val="21"/>
                <w:lang w:val="en-US" w:eastAsia="zh-CN"/>
              </w:rPr>
            </w:pPr>
            <w:r>
              <w:rPr>
                <w:rFonts w:hint="default" w:ascii="Times New Roman" w:hAnsi="Times New Roman" w:eastAsia="宋体" w:cs="Times New Roman"/>
                <w:i w:val="0"/>
                <w:iCs w:val="0"/>
                <w:color w:val="000000"/>
                <w:kern w:val="0"/>
                <w:sz w:val="24"/>
                <w:szCs w:val="24"/>
                <w:u w:val="none"/>
                <w:lang w:val="en-US" w:eastAsia="zh-CN" w:bidi="ar"/>
              </w:rPr>
              <w:t>20-5-15</w:t>
            </w:r>
          </w:p>
        </w:tc>
        <w:tc>
          <w:tcPr>
            <w:tcW w:w="2246" w:type="dxa"/>
            <w:vAlign w:val="bottom"/>
          </w:tcPr>
          <w:p w14:paraId="251FEC20">
            <w:pPr>
              <w:keepNext w:val="0"/>
              <w:keepLines w:val="0"/>
              <w:pageBreakBefore w:val="0"/>
              <w:widowControl/>
              <w:suppressLineNumbers w:val="0"/>
              <w:wordWrap/>
              <w:overflowPunct/>
              <w:topLinePunct w:val="0"/>
              <w:bidi w:val="0"/>
              <w:spacing w:line="360" w:lineRule="auto"/>
              <w:jc w:val="left"/>
              <w:textAlignment w:val="bottom"/>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30.83</w:t>
            </w:r>
          </w:p>
        </w:tc>
      </w:tr>
      <w:tr w14:paraId="5F663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pct"/>
            <w:shd w:val="clear" w:color="auto" w:fill="auto"/>
            <w:vAlign w:val="top"/>
          </w:tcPr>
          <w:p w14:paraId="1E106ECF">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（7）</w:t>
            </w:r>
          </w:p>
        </w:tc>
        <w:tc>
          <w:tcPr>
            <w:tcW w:w="1644" w:type="pct"/>
            <w:vAlign w:val="center"/>
          </w:tcPr>
          <w:p w14:paraId="28E6248F">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黑龙江爱农</w:t>
            </w:r>
          </w:p>
        </w:tc>
        <w:tc>
          <w:tcPr>
            <w:tcW w:w="1317" w:type="pct"/>
            <w:vAlign w:val="center"/>
          </w:tcPr>
          <w:p w14:paraId="142A21A4">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24-10-12</w:t>
            </w:r>
          </w:p>
        </w:tc>
        <w:tc>
          <w:tcPr>
            <w:tcW w:w="2246" w:type="dxa"/>
            <w:vAlign w:val="bottom"/>
          </w:tcPr>
          <w:p w14:paraId="284C3460">
            <w:pPr>
              <w:keepNext w:val="0"/>
              <w:keepLines w:val="0"/>
              <w:pageBreakBefore w:val="0"/>
              <w:widowControl/>
              <w:suppressLineNumbers w:val="0"/>
              <w:wordWrap/>
              <w:overflowPunct/>
              <w:topLinePunct w:val="0"/>
              <w:bidi w:val="0"/>
              <w:spacing w:line="360" w:lineRule="auto"/>
              <w:jc w:val="left"/>
              <w:textAlignment w:val="bottom"/>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46.93</w:t>
            </w:r>
          </w:p>
        </w:tc>
      </w:tr>
      <w:tr w14:paraId="00B4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pct"/>
            <w:shd w:val="clear" w:color="auto" w:fill="auto"/>
            <w:vAlign w:val="top"/>
          </w:tcPr>
          <w:p w14:paraId="060F1E89">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（8）</w:t>
            </w:r>
          </w:p>
        </w:tc>
        <w:tc>
          <w:tcPr>
            <w:tcW w:w="1644" w:type="pct"/>
            <w:vAlign w:val="center"/>
          </w:tcPr>
          <w:p w14:paraId="5C50FD51">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辽宁凯丰</w:t>
            </w:r>
          </w:p>
        </w:tc>
        <w:tc>
          <w:tcPr>
            <w:tcW w:w="1317" w:type="pct"/>
            <w:vAlign w:val="center"/>
          </w:tcPr>
          <w:p w14:paraId="311DC822">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26-10-12</w:t>
            </w:r>
          </w:p>
        </w:tc>
        <w:tc>
          <w:tcPr>
            <w:tcW w:w="2246" w:type="dxa"/>
            <w:vAlign w:val="bottom"/>
          </w:tcPr>
          <w:p w14:paraId="6A918707">
            <w:pPr>
              <w:keepNext w:val="0"/>
              <w:keepLines w:val="0"/>
              <w:pageBreakBefore w:val="0"/>
              <w:widowControl/>
              <w:suppressLineNumbers w:val="0"/>
              <w:wordWrap/>
              <w:overflowPunct/>
              <w:topLinePunct w:val="0"/>
              <w:bidi w:val="0"/>
              <w:spacing w:line="360" w:lineRule="auto"/>
              <w:jc w:val="left"/>
              <w:textAlignment w:val="bottom"/>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49.12</w:t>
            </w:r>
          </w:p>
        </w:tc>
      </w:tr>
      <w:tr w14:paraId="077C2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pct"/>
          </w:tcPr>
          <w:p w14:paraId="73E811C9">
            <w:pPr>
              <w:keepLines w:val="0"/>
              <w:pageBreakBefore w:val="0"/>
              <w:wordWrap/>
              <w:overflowPunct/>
              <w:topLinePunct w:val="0"/>
              <w:bidi w:val="0"/>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9</w:t>
            </w:r>
            <w:r>
              <w:rPr>
                <w:rFonts w:ascii="Times New Roman" w:hAnsi="Times New Roman" w:eastAsia="宋体" w:cs="Times New Roman"/>
                <w:szCs w:val="21"/>
              </w:rPr>
              <w:t>）</w:t>
            </w:r>
          </w:p>
        </w:tc>
        <w:tc>
          <w:tcPr>
            <w:tcW w:w="1644" w:type="pct"/>
            <w:vAlign w:val="center"/>
          </w:tcPr>
          <w:p w14:paraId="6CE3F91E">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宁夏泸天化</w:t>
            </w:r>
          </w:p>
        </w:tc>
        <w:tc>
          <w:tcPr>
            <w:tcW w:w="1317" w:type="pct"/>
            <w:vAlign w:val="center"/>
          </w:tcPr>
          <w:p w14:paraId="093C4DCC">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22-19-16</w:t>
            </w:r>
          </w:p>
        </w:tc>
        <w:tc>
          <w:tcPr>
            <w:tcW w:w="2246" w:type="dxa"/>
            <w:vAlign w:val="bottom"/>
          </w:tcPr>
          <w:p w14:paraId="3B8E0B79">
            <w:pPr>
              <w:keepNext w:val="0"/>
              <w:keepLines w:val="0"/>
              <w:pageBreakBefore w:val="0"/>
              <w:widowControl/>
              <w:suppressLineNumbers w:val="0"/>
              <w:wordWrap/>
              <w:overflowPunct/>
              <w:topLinePunct w:val="0"/>
              <w:bidi w:val="0"/>
              <w:spacing w:line="360" w:lineRule="auto"/>
              <w:jc w:val="left"/>
              <w:textAlignment w:val="bottom"/>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22.99</w:t>
            </w:r>
          </w:p>
        </w:tc>
      </w:tr>
      <w:tr w14:paraId="2E4C5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pct"/>
          </w:tcPr>
          <w:p w14:paraId="6BC66B90">
            <w:pPr>
              <w:keepLines w:val="0"/>
              <w:pageBreakBefore w:val="0"/>
              <w:wordWrap/>
              <w:overflowPunct/>
              <w:topLinePunct w:val="0"/>
              <w:bidi w:val="0"/>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10</w:t>
            </w:r>
            <w:r>
              <w:rPr>
                <w:rFonts w:ascii="Times New Roman" w:hAnsi="Times New Roman" w:eastAsia="宋体" w:cs="Times New Roman"/>
                <w:szCs w:val="21"/>
              </w:rPr>
              <w:t>）</w:t>
            </w:r>
          </w:p>
        </w:tc>
        <w:tc>
          <w:tcPr>
            <w:tcW w:w="1644" w:type="pct"/>
            <w:vAlign w:val="center"/>
          </w:tcPr>
          <w:p w14:paraId="70CEA4DE">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宁夏泸天化</w:t>
            </w:r>
          </w:p>
        </w:tc>
        <w:tc>
          <w:tcPr>
            <w:tcW w:w="1317" w:type="pct"/>
            <w:vAlign w:val="center"/>
          </w:tcPr>
          <w:p w14:paraId="1F303807">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27-10-11</w:t>
            </w:r>
          </w:p>
        </w:tc>
        <w:tc>
          <w:tcPr>
            <w:tcW w:w="2246" w:type="dxa"/>
            <w:vAlign w:val="bottom"/>
          </w:tcPr>
          <w:p w14:paraId="74A50E36">
            <w:pPr>
              <w:keepNext w:val="0"/>
              <w:keepLines w:val="0"/>
              <w:pageBreakBefore w:val="0"/>
              <w:widowControl/>
              <w:suppressLineNumbers w:val="0"/>
              <w:wordWrap/>
              <w:overflowPunct/>
              <w:topLinePunct w:val="0"/>
              <w:bidi w:val="0"/>
              <w:spacing w:line="360" w:lineRule="auto"/>
              <w:jc w:val="left"/>
              <w:textAlignment w:val="bottom"/>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51.67</w:t>
            </w:r>
          </w:p>
        </w:tc>
      </w:tr>
      <w:tr w14:paraId="72CE8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pct"/>
          </w:tcPr>
          <w:p w14:paraId="48B97DBC">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w:t>
            </w:r>
            <w:r>
              <w:rPr>
                <w:rFonts w:hint="eastAsia" w:ascii="Times New Roman" w:hAnsi="Times New Roman" w:eastAsia="宋体" w:cs="Times New Roman"/>
                <w:szCs w:val="21"/>
                <w:lang w:val="en-US" w:eastAsia="zh-CN"/>
              </w:rPr>
              <w:t>11</w:t>
            </w:r>
            <w:r>
              <w:rPr>
                <w:rFonts w:hint="eastAsia" w:ascii="Times New Roman" w:hAnsi="Times New Roman" w:eastAsia="宋体" w:cs="Times New Roman"/>
                <w:szCs w:val="21"/>
              </w:rPr>
              <w:t>）</w:t>
            </w:r>
          </w:p>
        </w:tc>
        <w:tc>
          <w:tcPr>
            <w:tcW w:w="1644" w:type="pct"/>
            <w:vAlign w:val="center"/>
          </w:tcPr>
          <w:p w14:paraId="2BFA6EA8">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宁夏泸天化</w:t>
            </w:r>
          </w:p>
        </w:tc>
        <w:tc>
          <w:tcPr>
            <w:tcW w:w="1317" w:type="pct"/>
            <w:vAlign w:val="center"/>
          </w:tcPr>
          <w:p w14:paraId="51F93E31">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26-10-12</w:t>
            </w:r>
          </w:p>
        </w:tc>
        <w:tc>
          <w:tcPr>
            <w:tcW w:w="2246" w:type="dxa"/>
            <w:vAlign w:val="bottom"/>
          </w:tcPr>
          <w:p w14:paraId="54F65BE7">
            <w:pPr>
              <w:keepNext w:val="0"/>
              <w:keepLines w:val="0"/>
              <w:pageBreakBefore w:val="0"/>
              <w:widowControl/>
              <w:suppressLineNumbers w:val="0"/>
              <w:wordWrap/>
              <w:overflowPunct/>
              <w:topLinePunct w:val="0"/>
              <w:bidi w:val="0"/>
              <w:spacing w:line="360" w:lineRule="auto"/>
              <w:jc w:val="left"/>
              <w:textAlignment w:val="bottom"/>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48.03</w:t>
            </w:r>
          </w:p>
        </w:tc>
      </w:tr>
      <w:tr w14:paraId="2ACF5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pct"/>
          </w:tcPr>
          <w:p w14:paraId="0E4C0E22">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w:t>
            </w:r>
            <w:r>
              <w:rPr>
                <w:rFonts w:hint="eastAsia" w:ascii="Times New Roman" w:hAnsi="Times New Roman" w:eastAsia="宋体" w:cs="Times New Roman"/>
                <w:szCs w:val="21"/>
                <w:lang w:val="en-US" w:eastAsia="zh-CN"/>
              </w:rPr>
              <w:t>12</w:t>
            </w:r>
            <w:r>
              <w:rPr>
                <w:rFonts w:hint="eastAsia" w:ascii="Times New Roman" w:hAnsi="Times New Roman" w:eastAsia="宋体" w:cs="Times New Roman"/>
                <w:szCs w:val="21"/>
              </w:rPr>
              <w:t>）</w:t>
            </w:r>
          </w:p>
        </w:tc>
        <w:tc>
          <w:tcPr>
            <w:tcW w:w="1644" w:type="pct"/>
            <w:vAlign w:val="center"/>
          </w:tcPr>
          <w:p w14:paraId="6FA50A85">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宁夏泸天化</w:t>
            </w:r>
          </w:p>
        </w:tc>
        <w:tc>
          <w:tcPr>
            <w:tcW w:w="1317" w:type="pct"/>
            <w:vAlign w:val="center"/>
          </w:tcPr>
          <w:p w14:paraId="3EC0F84D">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26-9-6</w:t>
            </w:r>
          </w:p>
        </w:tc>
        <w:tc>
          <w:tcPr>
            <w:tcW w:w="2246" w:type="dxa"/>
            <w:vAlign w:val="bottom"/>
          </w:tcPr>
          <w:p w14:paraId="69BAE7F5">
            <w:pPr>
              <w:keepNext w:val="0"/>
              <w:keepLines w:val="0"/>
              <w:pageBreakBefore w:val="0"/>
              <w:widowControl/>
              <w:suppressLineNumbers w:val="0"/>
              <w:wordWrap/>
              <w:overflowPunct/>
              <w:topLinePunct w:val="0"/>
              <w:bidi w:val="0"/>
              <w:spacing w:line="360" w:lineRule="auto"/>
              <w:jc w:val="left"/>
              <w:textAlignment w:val="bottom"/>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42.92</w:t>
            </w:r>
          </w:p>
        </w:tc>
      </w:tr>
      <w:tr w14:paraId="77AB6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pct"/>
          </w:tcPr>
          <w:p w14:paraId="773176A4">
            <w:pPr>
              <w:keepLines w:val="0"/>
              <w:pageBreakBefore w:val="0"/>
              <w:wordWrap/>
              <w:overflowPunct/>
              <w:topLinePunct w:val="0"/>
              <w:bidi w:val="0"/>
              <w:spacing w:line="360" w:lineRule="auto"/>
              <w:rPr>
                <w:rFonts w:hint="eastAsia" w:ascii="Times New Roman" w:hAnsi="Times New Roman" w:eastAsia="宋体" w:cs="Times New Roman"/>
                <w:szCs w:val="21"/>
                <w:lang w:eastAsia="zh-CN"/>
              </w:rPr>
            </w:pP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lang w:val="en-US" w:eastAsia="zh-CN"/>
              </w:rPr>
              <w:t>13</w:t>
            </w:r>
            <w:r>
              <w:rPr>
                <w:rFonts w:hint="eastAsia" w:ascii="Times New Roman" w:hAnsi="Times New Roman" w:eastAsia="宋体" w:cs="Times New Roman"/>
                <w:szCs w:val="21"/>
                <w:lang w:eastAsia="zh-CN"/>
              </w:rPr>
              <w:t>）</w:t>
            </w:r>
          </w:p>
        </w:tc>
        <w:tc>
          <w:tcPr>
            <w:tcW w:w="1644" w:type="pct"/>
            <w:vAlign w:val="center"/>
          </w:tcPr>
          <w:p w14:paraId="06BA494A">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宁夏泸天化</w:t>
            </w:r>
          </w:p>
        </w:tc>
        <w:tc>
          <w:tcPr>
            <w:tcW w:w="1317" w:type="pct"/>
            <w:vAlign w:val="center"/>
          </w:tcPr>
          <w:p w14:paraId="0411B017">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25-10-6</w:t>
            </w:r>
          </w:p>
        </w:tc>
        <w:tc>
          <w:tcPr>
            <w:tcW w:w="2246" w:type="dxa"/>
            <w:vAlign w:val="bottom"/>
          </w:tcPr>
          <w:p w14:paraId="43B1370D">
            <w:pPr>
              <w:keepNext w:val="0"/>
              <w:keepLines w:val="0"/>
              <w:pageBreakBefore w:val="0"/>
              <w:widowControl/>
              <w:suppressLineNumbers w:val="0"/>
              <w:wordWrap/>
              <w:overflowPunct/>
              <w:topLinePunct w:val="0"/>
              <w:bidi w:val="0"/>
              <w:spacing w:line="360" w:lineRule="auto"/>
              <w:jc w:val="left"/>
              <w:textAlignment w:val="bottom"/>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35.69</w:t>
            </w:r>
          </w:p>
        </w:tc>
      </w:tr>
      <w:tr w14:paraId="17F26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pct"/>
          </w:tcPr>
          <w:p w14:paraId="1624AA53">
            <w:pPr>
              <w:keepLines w:val="0"/>
              <w:pageBreakBefore w:val="0"/>
              <w:wordWrap/>
              <w:overflowPunct/>
              <w:topLinePunct w:val="0"/>
              <w:bidi w:val="0"/>
              <w:spacing w:line="360" w:lineRule="auto"/>
              <w:rPr>
                <w:rFonts w:hint="eastAsia" w:ascii="Times New Roman" w:hAnsi="Times New Roman" w:eastAsia="宋体" w:cs="Times New Roman"/>
                <w:szCs w:val="21"/>
                <w:lang w:eastAsia="zh-CN"/>
              </w:rPr>
            </w:pP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lang w:val="en-US" w:eastAsia="zh-CN"/>
              </w:rPr>
              <w:t>14</w:t>
            </w:r>
            <w:r>
              <w:rPr>
                <w:rFonts w:hint="eastAsia" w:ascii="Times New Roman" w:hAnsi="Times New Roman" w:eastAsia="宋体" w:cs="Times New Roman"/>
                <w:szCs w:val="21"/>
                <w:lang w:eastAsia="zh-CN"/>
              </w:rPr>
              <w:t>）</w:t>
            </w:r>
          </w:p>
        </w:tc>
        <w:tc>
          <w:tcPr>
            <w:tcW w:w="1644" w:type="pct"/>
            <w:vAlign w:val="center"/>
          </w:tcPr>
          <w:p w14:paraId="74A42609">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宁夏泸天化</w:t>
            </w:r>
          </w:p>
        </w:tc>
        <w:tc>
          <w:tcPr>
            <w:tcW w:w="1317" w:type="pct"/>
            <w:vAlign w:val="center"/>
          </w:tcPr>
          <w:p w14:paraId="2334578B">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27-10-11</w:t>
            </w:r>
          </w:p>
        </w:tc>
        <w:tc>
          <w:tcPr>
            <w:tcW w:w="2246" w:type="dxa"/>
            <w:vAlign w:val="bottom"/>
          </w:tcPr>
          <w:p w14:paraId="685D585F">
            <w:pPr>
              <w:keepNext w:val="0"/>
              <w:keepLines w:val="0"/>
              <w:pageBreakBefore w:val="0"/>
              <w:widowControl/>
              <w:suppressLineNumbers w:val="0"/>
              <w:wordWrap/>
              <w:overflowPunct/>
              <w:topLinePunct w:val="0"/>
              <w:bidi w:val="0"/>
              <w:spacing w:line="360" w:lineRule="auto"/>
              <w:jc w:val="left"/>
              <w:textAlignment w:val="bottom"/>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43.55</w:t>
            </w:r>
          </w:p>
        </w:tc>
      </w:tr>
      <w:tr w14:paraId="4DDAA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pct"/>
          </w:tcPr>
          <w:p w14:paraId="36D548CF">
            <w:pPr>
              <w:keepLines w:val="0"/>
              <w:pageBreakBefore w:val="0"/>
              <w:wordWrap/>
              <w:overflowPunct/>
              <w:topLinePunct w:val="0"/>
              <w:bidi w:val="0"/>
              <w:spacing w:line="360" w:lineRule="auto"/>
              <w:rPr>
                <w:rFonts w:hint="eastAsia" w:ascii="Times New Roman" w:hAnsi="Times New Roman" w:eastAsia="宋体" w:cs="Times New Roman"/>
                <w:szCs w:val="21"/>
                <w:lang w:eastAsia="zh-CN"/>
              </w:rPr>
            </w:pP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lang w:val="en-US" w:eastAsia="zh-CN"/>
              </w:rPr>
              <w:t>15</w:t>
            </w:r>
            <w:r>
              <w:rPr>
                <w:rFonts w:hint="eastAsia" w:ascii="Times New Roman" w:hAnsi="Times New Roman" w:eastAsia="宋体" w:cs="Times New Roman"/>
                <w:szCs w:val="21"/>
                <w:lang w:eastAsia="zh-CN"/>
              </w:rPr>
              <w:t>）</w:t>
            </w:r>
          </w:p>
        </w:tc>
        <w:tc>
          <w:tcPr>
            <w:tcW w:w="1644" w:type="pct"/>
            <w:vAlign w:val="center"/>
          </w:tcPr>
          <w:p w14:paraId="4C9F8E18">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宁夏泸天化</w:t>
            </w:r>
          </w:p>
        </w:tc>
        <w:tc>
          <w:tcPr>
            <w:tcW w:w="1317" w:type="pct"/>
            <w:vAlign w:val="center"/>
          </w:tcPr>
          <w:p w14:paraId="638C0524">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22-20-5</w:t>
            </w:r>
          </w:p>
        </w:tc>
        <w:tc>
          <w:tcPr>
            <w:tcW w:w="2246" w:type="dxa"/>
            <w:vAlign w:val="bottom"/>
          </w:tcPr>
          <w:p w14:paraId="67DA9ABE">
            <w:pPr>
              <w:keepNext w:val="0"/>
              <w:keepLines w:val="0"/>
              <w:pageBreakBefore w:val="0"/>
              <w:widowControl/>
              <w:suppressLineNumbers w:val="0"/>
              <w:wordWrap/>
              <w:overflowPunct/>
              <w:topLinePunct w:val="0"/>
              <w:bidi w:val="0"/>
              <w:spacing w:line="360" w:lineRule="auto"/>
              <w:jc w:val="left"/>
              <w:textAlignment w:val="bottom"/>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26.18</w:t>
            </w:r>
          </w:p>
        </w:tc>
      </w:tr>
      <w:tr w14:paraId="37FC6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pct"/>
            <w:shd w:val="clear" w:color="auto" w:fill="auto"/>
            <w:vAlign w:val="top"/>
          </w:tcPr>
          <w:p w14:paraId="47207C77">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1</w:t>
            </w:r>
            <w:r>
              <w:rPr>
                <w:rFonts w:ascii="Times New Roman" w:hAnsi="Times New Roman" w:eastAsia="宋体" w:cs="Times New Roman"/>
                <w:szCs w:val="21"/>
              </w:rPr>
              <w:t>6）</w:t>
            </w:r>
          </w:p>
        </w:tc>
        <w:tc>
          <w:tcPr>
            <w:tcW w:w="1644" w:type="pct"/>
            <w:vAlign w:val="center"/>
          </w:tcPr>
          <w:p w14:paraId="4D5A103E">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山东三色</w:t>
            </w:r>
          </w:p>
        </w:tc>
        <w:tc>
          <w:tcPr>
            <w:tcW w:w="1317" w:type="pct"/>
            <w:vAlign w:val="center"/>
          </w:tcPr>
          <w:p w14:paraId="28E60E30">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26-10-12</w:t>
            </w:r>
          </w:p>
        </w:tc>
        <w:tc>
          <w:tcPr>
            <w:tcW w:w="2246" w:type="dxa"/>
            <w:vAlign w:val="bottom"/>
          </w:tcPr>
          <w:p w14:paraId="43CDBA63">
            <w:pPr>
              <w:keepNext w:val="0"/>
              <w:keepLines w:val="0"/>
              <w:pageBreakBefore w:val="0"/>
              <w:widowControl/>
              <w:suppressLineNumbers w:val="0"/>
              <w:wordWrap/>
              <w:overflowPunct/>
              <w:topLinePunct w:val="0"/>
              <w:bidi w:val="0"/>
              <w:spacing w:line="360" w:lineRule="auto"/>
              <w:jc w:val="left"/>
              <w:textAlignment w:val="bottom"/>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53.07</w:t>
            </w:r>
          </w:p>
        </w:tc>
      </w:tr>
      <w:tr w14:paraId="64CCA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pct"/>
            <w:shd w:val="clear" w:color="auto" w:fill="auto"/>
            <w:vAlign w:val="top"/>
          </w:tcPr>
          <w:p w14:paraId="2411FD2A">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w:t>
            </w: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7）</w:t>
            </w:r>
          </w:p>
        </w:tc>
        <w:tc>
          <w:tcPr>
            <w:tcW w:w="1644" w:type="pct"/>
            <w:vAlign w:val="center"/>
          </w:tcPr>
          <w:p w14:paraId="53881D7B">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山东三色</w:t>
            </w:r>
          </w:p>
        </w:tc>
        <w:tc>
          <w:tcPr>
            <w:tcW w:w="1317" w:type="pct"/>
            <w:vAlign w:val="center"/>
          </w:tcPr>
          <w:p w14:paraId="57A39392">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27-12-12</w:t>
            </w:r>
          </w:p>
        </w:tc>
        <w:tc>
          <w:tcPr>
            <w:tcW w:w="2246" w:type="dxa"/>
            <w:vAlign w:val="bottom"/>
          </w:tcPr>
          <w:p w14:paraId="008B1233">
            <w:pPr>
              <w:keepNext w:val="0"/>
              <w:keepLines w:val="0"/>
              <w:pageBreakBefore w:val="0"/>
              <w:widowControl/>
              <w:suppressLineNumbers w:val="0"/>
              <w:wordWrap/>
              <w:overflowPunct/>
              <w:topLinePunct w:val="0"/>
              <w:bidi w:val="0"/>
              <w:spacing w:line="360" w:lineRule="auto"/>
              <w:jc w:val="left"/>
              <w:textAlignment w:val="bottom"/>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52.83</w:t>
            </w:r>
          </w:p>
        </w:tc>
      </w:tr>
      <w:tr w14:paraId="3FFB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pct"/>
            <w:shd w:val="clear" w:color="auto" w:fill="auto"/>
            <w:vAlign w:val="top"/>
          </w:tcPr>
          <w:p w14:paraId="55DB0F2D">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w:t>
            </w: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8）</w:t>
            </w:r>
          </w:p>
        </w:tc>
        <w:tc>
          <w:tcPr>
            <w:tcW w:w="1644" w:type="pct"/>
            <w:vAlign w:val="center"/>
          </w:tcPr>
          <w:p w14:paraId="1504537C">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山东三色</w:t>
            </w:r>
          </w:p>
        </w:tc>
        <w:tc>
          <w:tcPr>
            <w:tcW w:w="1317" w:type="pct"/>
            <w:vAlign w:val="center"/>
          </w:tcPr>
          <w:p w14:paraId="51E27CCF">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26-12-10</w:t>
            </w:r>
          </w:p>
        </w:tc>
        <w:tc>
          <w:tcPr>
            <w:tcW w:w="2246" w:type="dxa"/>
            <w:vAlign w:val="bottom"/>
          </w:tcPr>
          <w:p w14:paraId="533A743B">
            <w:pPr>
              <w:keepNext w:val="0"/>
              <w:keepLines w:val="0"/>
              <w:pageBreakBefore w:val="0"/>
              <w:widowControl/>
              <w:suppressLineNumbers w:val="0"/>
              <w:wordWrap/>
              <w:overflowPunct/>
              <w:topLinePunct w:val="0"/>
              <w:bidi w:val="0"/>
              <w:spacing w:line="360" w:lineRule="auto"/>
              <w:jc w:val="left"/>
              <w:textAlignment w:val="bottom"/>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46.6</w:t>
            </w:r>
          </w:p>
        </w:tc>
      </w:tr>
      <w:tr w14:paraId="37F0E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pct"/>
            <w:shd w:val="clear" w:color="auto" w:fill="auto"/>
            <w:vAlign w:val="top"/>
          </w:tcPr>
          <w:p w14:paraId="30C57821">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19</w:t>
            </w:r>
            <w:r>
              <w:rPr>
                <w:rFonts w:ascii="Times New Roman" w:hAnsi="Times New Roman" w:eastAsia="宋体" w:cs="Times New Roman"/>
                <w:szCs w:val="21"/>
              </w:rPr>
              <w:t>）</w:t>
            </w:r>
          </w:p>
        </w:tc>
        <w:tc>
          <w:tcPr>
            <w:tcW w:w="1644" w:type="pct"/>
            <w:vAlign w:val="center"/>
          </w:tcPr>
          <w:p w14:paraId="37F8A7B9">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山东三色</w:t>
            </w:r>
          </w:p>
        </w:tc>
        <w:tc>
          <w:tcPr>
            <w:tcW w:w="1317" w:type="pct"/>
            <w:vAlign w:val="center"/>
          </w:tcPr>
          <w:p w14:paraId="753B9E0C">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27-7-7</w:t>
            </w:r>
          </w:p>
        </w:tc>
        <w:tc>
          <w:tcPr>
            <w:tcW w:w="2246" w:type="dxa"/>
            <w:vAlign w:val="bottom"/>
          </w:tcPr>
          <w:p w14:paraId="231E5244">
            <w:pPr>
              <w:keepNext w:val="0"/>
              <w:keepLines w:val="0"/>
              <w:pageBreakBefore w:val="0"/>
              <w:widowControl/>
              <w:suppressLineNumbers w:val="0"/>
              <w:wordWrap/>
              <w:overflowPunct/>
              <w:topLinePunct w:val="0"/>
              <w:bidi w:val="0"/>
              <w:spacing w:line="360" w:lineRule="auto"/>
              <w:jc w:val="left"/>
              <w:textAlignment w:val="bottom"/>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34.75</w:t>
            </w:r>
          </w:p>
        </w:tc>
      </w:tr>
      <w:tr w14:paraId="37B6A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pct"/>
            <w:shd w:val="clear" w:color="auto" w:fill="auto"/>
            <w:vAlign w:val="top"/>
          </w:tcPr>
          <w:p w14:paraId="2F1EF950">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20</w:t>
            </w:r>
            <w:r>
              <w:rPr>
                <w:rFonts w:ascii="Times New Roman" w:hAnsi="Times New Roman" w:eastAsia="宋体" w:cs="Times New Roman"/>
                <w:szCs w:val="21"/>
              </w:rPr>
              <w:t>）</w:t>
            </w:r>
          </w:p>
        </w:tc>
        <w:tc>
          <w:tcPr>
            <w:tcW w:w="1644" w:type="pct"/>
            <w:vAlign w:val="center"/>
          </w:tcPr>
          <w:p w14:paraId="63078A9D">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中科国投生物工程</w:t>
            </w:r>
          </w:p>
        </w:tc>
        <w:tc>
          <w:tcPr>
            <w:tcW w:w="1317" w:type="pct"/>
            <w:vAlign w:val="center"/>
          </w:tcPr>
          <w:p w14:paraId="69B85D7E">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26-10-12</w:t>
            </w:r>
          </w:p>
        </w:tc>
        <w:tc>
          <w:tcPr>
            <w:tcW w:w="2246" w:type="dxa"/>
            <w:vAlign w:val="bottom"/>
          </w:tcPr>
          <w:p w14:paraId="3AEA7658">
            <w:pPr>
              <w:keepNext w:val="0"/>
              <w:keepLines w:val="0"/>
              <w:pageBreakBefore w:val="0"/>
              <w:widowControl/>
              <w:suppressLineNumbers w:val="0"/>
              <w:wordWrap/>
              <w:overflowPunct/>
              <w:topLinePunct w:val="0"/>
              <w:bidi w:val="0"/>
              <w:spacing w:line="360" w:lineRule="auto"/>
              <w:jc w:val="left"/>
              <w:textAlignment w:val="bottom"/>
              <w:rPr>
                <w:rFonts w:hint="default"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eastAsia="宋体" w:cs="Times New Roman"/>
                <w:i w:val="0"/>
                <w:iCs w:val="0"/>
                <w:color w:val="000000"/>
                <w:kern w:val="0"/>
                <w:sz w:val="24"/>
                <w:szCs w:val="24"/>
                <w:u w:val="none"/>
                <w:lang w:val="en-US" w:eastAsia="zh-CN" w:bidi="ar"/>
              </w:rPr>
              <w:t>4</w:t>
            </w:r>
            <w:r>
              <w:rPr>
                <w:rFonts w:hint="default" w:ascii="Times New Roman" w:hAnsi="Times New Roman" w:eastAsia="宋体" w:cs="Times New Roman"/>
                <w:i w:val="0"/>
                <w:iCs w:val="0"/>
                <w:color w:val="000000"/>
                <w:kern w:val="0"/>
                <w:sz w:val="24"/>
                <w:szCs w:val="24"/>
                <w:u w:val="none"/>
                <w:lang w:val="en-US" w:eastAsia="zh-CN" w:bidi="ar"/>
              </w:rPr>
              <w:t>6.52</w:t>
            </w:r>
          </w:p>
        </w:tc>
      </w:tr>
      <w:tr w14:paraId="5FE6E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pct"/>
            <w:shd w:val="clear" w:color="auto" w:fill="auto"/>
            <w:vAlign w:val="top"/>
          </w:tcPr>
          <w:p w14:paraId="3124A4D5">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w:t>
            </w:r>
            <w:r>
              <w:rPr>
                <w:rFonts w:hint="eastAsia" w:ascii="Times New Roman" w:hAnsi="Times New Roman" w:eastAsia="宋体" w:cs="Times New Roman"/>
                <w:szCs w:val="21"/>
                <w:lang w:val="en-US" w:eastAsia="zh-CN"/>
              </w:rPr>
              <w:t>21</w:t>
            </w:r>
            <w:r>
              <w:rPr>
                <w:rFonts w:hint="eastAsia" w:ascii="Times New Roman" w:hAnsi="Times New Roman" w:eastAsia="宋体" w:cs="Times New Roman"/>
                <w:szCs w:val="21"/>
              </w:rPr>
              <w:t>）</w:t>
            </w:r>
          </w:p>
        </w:tc>
        <w:tc>
          <w:tcPr>
            <w:tcW w:w="1644" w:type="pct"/>
            <w:vAlign w:val="bottom"/>
          </w:tcPr>
          <w:p w14:paraId="061E8079">
            <w:pPr>
              <w:keepNext w:val="0"/>
              <w:keepLines w:val="0"/>
              <w:pageBreakBefore w:val="0"/>
              <w:widowControl/>
              <w:suppressLineNumbers w:val="0"/>
              <w:wordWrap/>
              <w:overflowPunct/>
              <w:topLinePunct w:val="0"/>
              <w:bidi w:val="0"/>
              <w:spacing w:line="360" w:lineRule="auto"/>
              <w:jc w:val="center"/>
              <w:textAlignment w:val="bottom"/>
              <w:rPr>
                <w:rFonts w:hint="eastAsia"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兰花尿素</w:t>
            </w:r>
          </w:p>
        </w:tc>
        <w:tc>
          <w:tcPr>
            <w:tcW w:w="1317" w:type="pct"/>
            <w:vAlign w:val="bottom"/>
          </w:tcPr>
          <w:p w14:paraId="2979118B">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2246" w:type="dxa"/>
            <w:vAlign w:val="bottom"/>
          </w:tcPr>
          <w:p w14:paraId="60F27C53">
            <w:pPr>
              <w:keepLines w:val="0"/>
              <w:pageBreakBefore w:val="0"/>
              <w:wordWrap/>
              <w:overflowPunct/>
              <w:topLinePunct w:val="0"/>
              <w:bidi w:val="0"/>
              <w:spacing w:line="360" w:lineRule="auto"/>
              <w:rPr>
                <w:rFonts w:hint="eastAsia" w:ascii="Times New Roman" w:hAnsi="Times New Roman" w:eastAsia="宋体" w:cs="Times New Roman"/>
                <w:szCs w:val="21"/>
              </w:rPr>
            </w:pPr>
          </w:p>
        </w:tc>
      </w:tr>
      <w:tr w14:paraId="03E72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pct"/>
            <w:shd w:val="clear" w:color="auto" w:fill="auto"/>
            <w:vAlign w:val="top"/>
          </w:tcPr>
          <w:p w14:paraId="31C005C7">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w:t>
            </w:r>
            <w:r>
              <w:rPr>
                <w:rFonts w:hint="eastAsia" w:ascii="Times New Roman" w:hAnsi="Times New Roman" w:eastAsia="宋体" w:cs="Times New Roman"/>
                <w:szCs w:val="21"/>
                <w:lang w:val="en-US" w:eastAsia="zh-CN"/>
              </w:rPr>
              <w:t>22</w:t>
            </w:r>
            <w:r>
              <w:rPr>
                <w:rFonts w:hint="eastAsia" w:ascii="Times New Roman" w:hAnsi="Times New Roman" w:eastAsia="宋体" w:cs="Times New Roman"/>
                <w:szCs w:val="21"/>
              </w:rPr>
              <w:t>）</w:t>
            </w:r>
          </w:p>
        </w:tc>
        <w:tc>
          <w:tcPr>
            <w:tcW w:w="1644" w:type="pct"/>
            <w:vAlign w:val="center"/>
          </w:tcPr>
          <w:p w14:paraId="3BF836CE">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兰花尿素</w:t>
            </w:r>
          </w:p>
        </w:tc>
        <w:tc>
          <w:tcPr>
            <w:tcW w:w="1317" w:type="pct"/>
            <w:vAlign w:val="bottom"/>
          </w:tcPr>
          <w:p w14:paraId="24156B4C">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2246" w:type="dxa"/>
            <w:vAlign w:val="bottom"/>
          </w:tcPr>
          <w:p w14:paraId="1A2681E0">
            <w:pPr>
              <w:keepLines w:val="0"/>
              <w:pageBreakBefore w:val="0"/>
              <w:wordWrap/>
              <w:overflowPunct/>
              <w:topLinePunct w:val="0"/>
              <w:bidi w:val="0"/>
              <w:spacing w:line="360" w:lineRule="auto"/>
              <w:rPr>
                <w:rFonts w:hint="eastAsia" w:ascii="Times New Roman" w:hAnsi="Times New Roman" w:eastAsia="宋体" w:cs="Times New Roman"/>
                <w:szCs w:val="21"/>
              </w:rPr>
            </w:pPr>
          </w:p>
        </w:tc>
      </w:tr>
    </w:tbl>
    <w:p w14:paraId="15C58A1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2.1.2 供试土样</w:t>
      </w:r>
      <w:r>
        <w:rPr>
          <w:rFonts w:ascii="Times New Roman" w:hAnsi="Times New Roman" w:eastAsia="宋体" w:cs="Times New Roman"/>
          <w:b/>
          <w:sz w:val="24"/>
          <w:szCs w:val="24"/>
        </w:rPr>
        <w:t>：</w:t>
      </w:r>
      <w:r>
        <w:rPr>
          <w:rFonts w:hint="eastAsia" w:ascii="Times New Roman" w:hAnsi="Times New Roman" w:eastAsia="宋体" w:cs="Times New Roman"/>
          <w:sz w:val="24"/>
          <w:szCs w:val="24"/>
          <w:lang w:val="en-US" w:eastAsia="zh-CN"/>
        </w:rPr>
        <w:t>棕壤</w:t>
      </w:r>
    </w:p>
    <w:p w14:paraId="3671CA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w:t>
      </w:r>
      <w:r>
        <w:rPr>
          <w:rFonts w:hint="default" w:ascii="Times New Roman" w:hAnsi="Times New Roman" w:eastAsia="宋体" w:cs="Times New Roman"/>
          <w:kern w:val="2"/>
          <w:sz w:val="24"/>
          <w:szCs w:val="24"/>
          <w:lang w:val="en-US" w:eastAsia="zh-CN" w:bidi="ar-SA"/>
        </w:rPr>
        <w:t>.</w:t>
      </w:r>
      <w:r>
        <w:rPr>
          <w:rFonts w:hint="eastAsia" w:ascii="Times New Roman" w:hAnsi="Times New Roman" w:eastAsia="宋体" w:cs="Times New Roman"/>
          <w:kern w:val="2"/>
          <w:sz w:val="24"/>
          <w:szCs w:val="24"/>
          <w:lang w:val="en-US" w:eastAsia="zh-CN" w:bidi="ar-SA"/>
        </w:rPr>
        <w:t>1.3 尿素含量测定方法和步骤</w:t>
      </w:r>
    </w:p>
    <w:p w14:paraId="4E38E4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按GB/T 35113《稳定性肥料》中尿素含量测定方法的测定。</w:t>
      </w:r>
    </w:p>
    <w:p w14:paraId="4B29784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w:t>
      </w:r>
      <w:r>
        <w:rPr>
          <w:rFonts w:hint="default" w:ascii="Times New Roman" w:hAnsi="Times New Roman" w:eastAsia="宋体" w:cs="Times New Roman"/>
          <w:kern w:val="2"/>
          <w:sz w:val="24"/>
          <w:szCs w:val="24"/>
          <w:lang w:val="en-US" w:eastAsia="zh-CN" w:bidi="ar-SA"/>
        </w:rPr>
        <w:t>.</w:t>
      </w:r>
      <w:r>
        <w:rPr>
          <w:rFonts w:hint="eastAsia" w:ascii="Times New Roman" w:hAnsi="Times New Roman" w:eastAsia="宋体" w:cs="Times New Roman"/>
          <w:kern w:val="2"/>
          <w:sz w:val="24"/>
          <w:szCs w:val="24"/>
          <w:lang w:val="en-US" w:eastAsia="zh-CN" w:bidi="ar-SA"/>
        </w:rPr>
        <w:t>1.4 土壤硝化潜势测定方法和步骤</w:t>
      </w:r>
    </w:p>
    <w:p w14:paraId="43827EF2">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2.1.4.1 试剂和材料</w:t>
      </w:r>
    </w:p>
    <w:p w14:paraId="679DF863">
      <w:pPr>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ascii="Times New Roman" w:hAnsi="Times New Roman" w:eastAsia="宋体" w:cs="Times New Roman"/>
          <w:sz w:val="24"/>
          <w:szCs w:val="24"/>
        </w:rPr>
      </w:pPr>
      <w:r>
        <w:rPr>
          <w:rFonts w:hint="eastAsia" w:eastAsia="宋体"/>
          <w:sz w:val="24"/>
          <w:szCs w:val="24"/>
          <w:lang w:eastAsia="zh-CN"/>
        </w:rPr>
        <w:t>（</w:t>
      </w:r>
      <w:r>
        <w:rPr>
          <w:rFonts w:hint="eastAsia" w:eastAsia="宋体"/>
          <w:sz w:val="24"/>
          <w:szCs w:val="24"/>
          <w:lang w:val="en-US" w:eastAsia="zh-CN"/>
        </w:rPr>
        <w:t>1</w:t>
      </w:r>
      <w:r>
        <w:rPr>
          <w:rFonts w:hint="eastAsia" w:eastAsia="宋体"/>
          <w:sz w:val="24"/>
          <w:szCs w:val="24"/>
          <w:lang w:eastAsia="zh-CN"/>
        </w:rPr>
        <w:t>）</w:t>
      </w:r>
      <w:r>
        <w:rPr>
          <w:rFonts w:hint="eastAsia" w:ascii="Times New Roman" w:hAnsi="Times New Roman" w:eastAsia="宋体" w:cs="Times New Roman"/>
          <w:sz w:val="24"/>
          <w:szCs w:val="24"/>
        </w:rPr>
        <w:t>肥料工作</w:t>
      </w:r>
      <w:r>
        <w:rPr>
          <w:rFonts w:ascii="Times New Roman" w:hAnsi="Times New Roman" w:eastAsia="宋体" w:cs="Times New Roman"/>
          <w:sz w:val="24"/>
          <w:szCs w:val="24"/>
        </w:rPr>
        <w:t>溶液：</w:t>
      </w:r>
      <w:r>
        <w:rPr>
          <w:rFonts w:hint="eastAsia" w:ascii="Times New Roman" w:hAnsi="Times New Roman" w:eastAsia="宋体" w:cs="Times New Roman"/>
          <w:sz w:val="24"/>
          <w:szCs w:val="24"/>
          <w:lang w:val="en-US" w:eastAsia="zh-CN"/>
        </w:rPr>
        <w:t>以每种肥料提供的配方氮含量当作总氮含量，对照氮除尿素氮外，其余氮用铵态氮补足，22种稳定性肥料的对照配置方案见表4。随后，按照</w:t>
      </w:r>
      <w:r>
        <w:rPr>
          <w:rFonts w:ascii="Times New Roman" w:hAnsi="Times New Roman" w:eastAsia="宋体" w:cs="Times New Roman"/>
          <w:sz w:val="24"/>
          <w:szCs w:val="24"/>
        </w:rPr>
        <w:t>按表</w:t>
      </w:r>
      <w:r>
        <w:rPr>
          <w:rFonts w:hint="eastAsia" w:ascii="Times New Roman" w:hAnsi="Times New Roman" w:eastAsia="宋体" w:cs="Times New Roman"/>
          <w:sz w:val="24"/>
          <w:szCs w:val="24"/>
          <w:lang w:val="en-US" w:eastAsia="zh-CN"/>
        </w:rPr>
        <w:t>1</w:t>
      </w:r>
      <w:r>
        <w:rPr>
          <w:rFonts w:ascii="Times New Roman" w:hAnsi="Times New Roman" w:eastAsia="宋体" w:cs="Times New Roman"/>
          <w:sz w:val="24"/>
          <w:szCs w:val="24"/>
        </w:rPr>
        <w:t>称取各试剂，溶解后定容于1000ml容量瓶中，混匀后，吸取1ml用蒸馏水稀释至1000ml中，</w:t>
      </w:r>
      <w:r>
        <w:rPr>
          <w:rFonts w:hint="eastAsia" w:ascii="Times New Roman" w:hAnsi="Times New Roman" w:eastAsia="宋体" w:cs="Times New Roman"/>
          <w:sz w:val="24"/>
          <w:szCs w:val="24"/>
        </w:rPr>
        <w:t>每</w:t>
      </w:r>
      <w:r>
        <w:rPr>
          <w:rFonts w:ascii="Times New Roman" w:hAnsi="Times New Roman" w:eastAsia="宋体" w:cs="Times New Roman"/>
          <w:sz w:val="24"/>
          <w:szCs w:val="24"/>
        </w:rPr>
        <w:t>20ml</w:t>
      </w:r>
      <w:r>
        <w:rPr>
          <w:rFonts w:hint="eastAsia" w:ascii="Times New Roman" w:hAnsi="Times New Roman" w:eastAsia="宋体" w:cs="Times New Roman"/>
          <w:sz w:val="24"/>
          <w:szCs w:val="24"/>
        </w:rPr>
        <w:t>该</w:t>
      </w:r>
      <w:r>
        <w:rPr>
          <w:rFonts w:ascii="Times New Roman" w:hAnsi="Times New Roman" w:eastAsia="宋体" w:cs="Times New Roman"/>
          <w:sz w:val="24"/>
          <w:szCs w:val="24"/>
        </w:rPr>
        <w:t>溶液</w:t>
      </w:r>
      <w:r>
        <w:rPr>
          <w:rFonts w:hint="eastAsia" w:ascii="Times New Roman" w:hAnsi="Times New Roman" w:eastAsia="宋体" w:cs="Times New Roman"/>
          <w:sz w:val="24"/>
          <w:szCs w:val="24"/>
        </w:rPr>
        <w:t>应</w:t>
      </w:r>
      <w:r>
        <w:rPr>
          <w:rFonts w:ascii="Times New Roman" w:hAnsi="Times New Roman" w:eastAsia="宋体" w:cs="Times New Roman"/>
          <w:sz w:val="24"/>
          <w:szCs w:val="24"/>
        </w:rPr>
        <w:t>含有0.28</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 xml:space="preserve">mg </w:t>
      </w:r>
      <w:r>
        <w:rPr>
          <w:rFonts w:hint="eastAsia" w:ascii="Times New Roman" w:hAnsi="Times New Roman" w:eastAsia="宋体" w:cs="Times New Roman"/>
          <w:sz w:val="24"/>
          <w:szCs w:val="24"/>
        </w:rPr>
        <w:t>N，即1</w:t>
      </w:r>
      <w:r>
        <w:rPr>
          <w:rFonts w:ascii="Times New Roman" w:hAnsi="Times New Roman" w:eastAsia="宋体" w:cs="Times New Roman"/>
          <w:sz w:val="24"/>
          <w:szCs w:val="24"/>
        </w:rPr>
        <w:t xml:space="preserve">4 </w:t>
      </w:r>
      <w:r>
        <w:rPr>
          <w:rFonts w:hint="eastAsia" w:ascii="Times New Roman" w:hAnsi="Times New Roman" w:eastAsia="宋体" w:cs="Times New Roman"/>
          <w:sz w:val="24"/>
          <w:szCs w:val="24"/>
        </w:rPr>
        <w:t>m</w:t>
      </w:r>
      <w:r>
        <w:rPr>
          <w:rFonts w:ascii="Times New Roman" w:hAnsi="Times New Roman" w:eastAsia="宋体" w:cs="Times New Roman"/>
          <w:sz w:val="24"/>
          <w:szCs w:val="24"/>
        </w:rPr>
        <w:t>g</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N/L。</w:t>
      </w:r>
    </w:p>
    <w:p w14:paraId="7C3EB78D">
      <w:pPr>
        <w:keepLines w:val="0"/>
        <w:pageBreakBefore w:val="0"/>
        <w:wordWrap/>
        <w:overflowPunct/>
        <w:topLinePunct w:val="0"/>
        <w:bidi w:val="0"/>
        <w:spacing w:line="360" w:lineRule="auto"/>
        <w:ind w:firstLine="422" w:firstLineChars="200"/>
        <w:jc w:val="center"/>
        <w:rPr>
          <w:rFonts w:hint="default" w:ascii="Times New Roman" w:hAnsi="Times New Roman" w:eastAsia="宋体" w:cs="Times New Roman"/>
          <w:b/>
          <w:szCs w:val="21"/>
          <w:lang w:val="en-US" w:eastAsia="zh-CN"/>
        </w:rPr>
      </w:pPr>
      <w:r>
        <w:rPr>
          <w:rFonts w:hint="eastAsia" w:ascii="Times New Roman" w:hAnsi="Times New Roman" w:eastAsia="宋体" w:cs="Times New Roman"/>
          <w:b/>
          <w:szCs w:val="21"/>
          <w:lang w:val="en-US" w:eastAsia="zh-CN"/>
        </w:rPr>
        <w:t>表4 22个肥料样品对应的对照肥料配制表</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656"/>
        <w:gridCol w:w="656"/>
        <w:gridCol w:w="656"/>
        <w:gridCol w:w="656"/>
        <w:gridCol w:w="673"/>
        <w:gridCol w:w="576"/>
        <w:gridCol w:w="618"/>
        <w:gridCol w:w="663"/>
        <w:gridCol w:w="700"/>
        <w:gridCol w:w="763"/>
        <w:gridCol w:w="1172"/>
      </w:tblGrid>
      <w:tr w14:paraId="2DD90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0" w:type="auto"/>
          </w:tcPr>
          <w:p w14:paraId="340A4E5C">
            <w:pPr>
              <w:keepLines w:val="0"/>
              <w:pageBreakBefore w:val="0"/>
              <w:wordWrap/>
              <w:overflowPunct/>
              <w:topLinePunct w:val="0"/>
              <w:bidi w:val="0"/>
              <w:spacing w:line="360" w:lineRule="auto"/>
              <w:rPr>
                <w:rFonts w:ascii="Times New Roman" w:hAnsi="Times New Roman" w:eastAsia="宋体" w:cs="Times New Roman"/>
                <w:sz w:val="16"/>
                <w:szCs w:val="16"/>
              </w:rPr>
            </w:pPr>
          </w:p>
        </w:tc>
        <w:tc>
          <w:tcPr>
            <w:tcW w:w="0" w:type="auto"/>
            <w:gridSpan w:val="5"/>
          </w:tcPr>
          <w:p w14:paraId="54BC6C6D">
            <w:pPr>
              <w:keepLines w:val="0"/>
              <w:pageBreakBefore w:val="0"/>
              <w:wordWrap/>
              <w:overflowPunct/>
              <w:topLinePunct w:val="0"/>
              <w:bidi w:val="0"/>
              <w:spacing w:line="360" w:lineRule="auto"/>
              <w:rPr>
                <w:rFonts w:hint="default" w:ascii="Times New Roman" w:hAnsi="Times New Roman" w:eastAsia="宋体" w:cs="Times New Roman"/>
                <w:b/>
                <w:bCs/>
                <w:sz w:val="13"/>
                <w:szCs w:val="13"/>
                <w:lang w:val="en-US" w:eastAsia="zh-CN"/>
              </w:rPr>
            </w:pPr>
            <w:r>
              <w:rPr>
                <w:rFonts w:hint="eastAsia" w:ascii="Times New Roman" w:hAnsi="Times New Roman" w:eastAsia="宋体" w:cs="Times New Roman"/>
                <w:b/>
                <w:bCs/>
                <w:sz w:val="13"/>
                <w:szCs w:val="13"/>
                <w:lang w:val="en-US" w:eastAsia="zh-CN"/>
              </w:rPr>
              <w:t>配置每吨对照的原料重量（kg）</w:t>
            </w:r>
          </w:p>
        </w:tc>
        <w:tc>
          <w:tcPr>
            <w:tcW w:w="3320" w:type="dxa"/>
            <w:gridSpan w:val="5"/>
            <w:shd w:val="clear" w:color="auto" w:fill="auto"/>
            <w:vAlign w:val="top"/>
          </w:tcPr>
          <w:p w14:paraId="07413BA5">
            <w:pPr>
              <w:keepLines w:val="0"/>
              <w:pageBreakBefore w:val="0"/>
              <w:wordWrap/>
              <w:overflowPunct/>
              <w:topLinePunct w:val="0"/>
              <w:bidi w:val="0"/>
              <w:spacing w:line="360" w:lineRule="auto"/>
              <w:rPr>
                <w:rFonts w:hint="default" w:ascii="Times New Roman" w:hAnsi="Times New Roman" w:eastAsia="宋体" w:cs="Times New Roman"/>
                <w:b/>
                <w:bCs/>
                <w:kern w:val="2"/>
                <w:sz w:val="13"/>
                <w:szCs w:val="13"/>
                <w:lang w:val="en-US" w:eastAsia="zh-CN" w:bidi="ar-SA"/>
              </w:rPr>
            </w:pPr>
            <w:r>
              <w:rPr>
                <w:rFonts w:hint="eastAsia" w:ascii="Times New Roman" w:hAnsi="Times New Roman" w:eastAsia="宋体" w:cs="Times New Roman"/>
                <w:b/>
                <w:bCs/>
                <w:sz w:val="13"/>
                <w:szCs w:val="13"/>
                <w:lang w:val="en-US" w:eastAsia="zh-CN"/>
              </w:rPr>
              <w:t>配置14 g N的对照原料重量（g）</w:t>
            </w:r>
          </w:p>
        </w:tc>
        <w:tc>
          <w:tcPr>
            <w:tcW w:w="1172" w:type="dxa"/>
            <w:shd w:val="clear" w:color="auto" w:fill="auto"/>
            <w:vAlign w:val="top"/>
          </w:tcPr>
          <w:p w14:paraId="50E52987">
            <w:pPr>
              <w:keepLines w:val="0"/>
              <w:pageBreakBefore w:val="0"/>
              <w:wordWrap/>
              <w:overflowPunct/>
              <w:topLinePunct w:val="0"/>
              <w:bidi w:val="0"/>
              <w:spacing w:line="360" w:lineRule="auto"/>
              <w:rPr>
                <w:rFonts w:hint="eastAsia" w:ascii="Times New Roman" w:hAnsi="Times New Roman" w:eastAsia="宋体" w:cs="Times New Roman"/>
                <w:b/>
                <w:bCs/>
                <w:kern w:val="2"/>
                <w:sz w:val="13"/>
                <w:szCs w:val="13"/>
                <w:lang w:val="en-US" w:eastAsia="zh-CN" w:bidi="ar-SA"/>
              </w:rPr>
            </w:pPr>
            <w:r>
              <w:rPr>
                <w:rFonts w:hint="eastAsia" w:ascii="Times New Roman" w:hAnsi="Times New Roman" w:eastAsia="宋体" w:cs="Times New Roman"/>
                <w:b/>
                <w:bCs/>
                <w:sz w:val="13"/>
                <w:szCs w:val="13"/>
                <w:lang w:val="en-US" w:eastAsia="zh-CN"/>
              </w:rPr>
              <w:t>配置14 g N的肥料样品重量（g）</w:t>
            </w:r>
          </w:p>
        </w:tc>
      </w:tr>
      <w:tr w14:paraId="5E72A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0" w:type="auto"/>
          </w:tcPr>
          <w:p w14:paraId="1D0F18F6">
            <w:pPr>
              <w:keepLines w:val="0"/>
              <w:pageBreakBefore w:val="0"/>
              <w:wordWrap/>
              <w:overflowPunct/>
              <w:topLinePunct w:val="0"/>
              <w:bidi w:val="0"/>
              <w:spacing w:line="360" w:lineRule="auto"/>
              <w:rPr>
                <w:rFonts w:ascii="Times New Roman" w:hAnsi="Times New Roman" w:eastAsia="宋体" w:cs="Times New Roman"/>
                <w:sz w:val="16"/>
                <w:szCs w:val="16"/>
              </w:rPr>
            </w:pPr>
          </w:p>
        </w:tc>
        <w:tc>
          <w:tcPr>
            <w:tcW w:w="0" w:type="auto"/>
            <w:shd w:val="clear" w:color="auto" w:fill="auto"/>
            <w:vAlign w:val="top"/>
          </w:tcPr>
          <w:p w14:paraId="3326BFE1">
            <w:pPr>
              <w:keepLines w:val="0"/>
              <w:pageBreakBefore w:val="0"/>
              <w:wordWrap/>
              <w:overflowPunct/>
              <w:topLinePunct w:val="0"/>
              <w:bidi w:val="0"/>
              <w:spacing w:line="360" w:lineRule="auto"/>
              <w:rPr>
                <w:rFonts w:ascii="Times New Roman" w:hAnsi="Times New Roman" w:eastAsia="宋体" w:cs="Times New Roman"/>
                <w:b/>
                <w:bCs/>
                <w:sz w:val="13"/>
                <w:szCs w:val="13"/>
              </w:rPr>
            </w:pPr>
            <w:r>
              <w:rPr>
                <w:rFonts w:ascii="Times New Roman" w:hAnsi="Times New Roman" w:eastAsia="宋体" w:cs="Times New Roman"/>
                <w:b/>
                <w:bCs/>
                <w:sz w:val="13"/>
                <w:szCs w:val="13"/>
              </w:rPr>
              <w:t>尿素</w:t>
            </w:r>
          </w:p>
          <w:p w14:paraId="128FB2DB">
            <w:pPr>
              <w:keepLines w:val="0"/>
              <w:pageBreakBefore w:val="0"/>
              <w:wordWrap/>
              <w:overflowPunct/>
              <w:topLinePunct w:val="0"/>
              <w:bidi w:val="0"/>
              <w:spacing w:line="360" w:lineRule="auto"/>
              <w:rPr>
                <w:rFonts w:hint="default" w:ascii="Times New Roman" w:hAnsi="Times New Roman" w:eastAsia="宋体" w:cs="Times New Roman"/>
                <w:b/>
                <w:bCs/>
                <w:kern w:val="2"/>
                <w:sz w:val="13"/>
                <w:szCs w:val="13"/>
                <w:lang w:val="en-US" w:eastAsia="zh-CN" w:bidi="ar-SA"/>
              </w:rPr>
            </w:pPr>
          </w:p>
        </w:tc>
        <w:tc>
          <w:tcPr>
            <w:tcW w:w="0" w:type="auto"/>
            <w:shd w:val="clear" w:color="auto" w:fill="auto"/>
            <w:vAlign w:val="top"/>
          </w:tcPr>
          <w:p w14:paraId="663CFD84">
            <w:pPr>
              <w:keepLines w:val="0"/>
              <w:pageBreakBefore w:val="0"/>
              <w:wordWrap/>
              <w:overflowPunct/>
              <w:topLinePunct w:val="0"/>
              <w:bidi w:val="0"/>
              <w:spacing w:line="360" w:lineRule="auto"/>
              <w:rPr>
                <w:rFonts w:hint="eastAsia" w:ascii="Times New Roman" w:hAnsi="Times New Roman" w:eastAsia="宋体" w:cs="Times New Roman"/>
                <w:b/>
                <w:bCs/>
                <w:kern w:val="2"/>
                <w:sz w:val="13"/>
                <w:szCs w:val="13"/>
                <w:lang w:val="en-US" w:eastAsia="zh-CN" w:bidi="ar-SA"/>
              </w:rPr>
            </w:pPr>
            <w:r>
              <w:rPr>
                <w:rFonts w:hint="eastAsia" w:ascii="Times New Roman" w:hAnsi="Times New Roman" w:eastAsia="宋体" w:cs="Times New Roman"/>
                <w:b/>
                <w:bCs/>
                <w:sz w:val="13"/>
                <w:szCs w:val="13"/>
                <w:lang w:val="en-US" w:eastAsia="zh-CN"/>
              </w:rPr>
              <w:t>二铵</w:t>
            </w:r>
          </w:p>
        </w:tc>
        <w:tc>
          <w:tcPr>
            <w:tcW w:w="0" w:type="auto"/>
            <w:shd w:val="clear" w:color="auto" w:fill="auto"/>
            <w:vAlign w:val="top"/>
          </w:tcPr>
          <w:p w14:paraId="3BD736A9">
            <w:pPr>
              <w:keepLines w:val="0"/>
              <w:pageBreakBefore w:val="0"/>
              <w:wordWrap/>
              <w:overflowPunct/>
              <w:topLinePunct w:val="0"/>
              <w:bidi w:val="0"/>
              <w:spacing w:line="360" w:lineRule="auto"/>
              <w:rPr>
                <w:rFonts w:hint="eastAsia" w:ascii="Times New Roman" w:hAnsi="Times New Roman" w:eastAsia="宋体" w:cs="Times New Roman"/>
                <w:b/>
                <w:bCs/>
                <w:kern w:val="2"/>
                <w:sz w:val="13"/>
                <w:szCs w:val="13"/>
                <w:lang w:val="en-US" w:eastAsia="zh-CN" w:bidi="ar-SA"/>
              </w:rPr>
            </w:pPr>
            <w:r>
              <w:rPr>
                <w:rFonts w:hint="eastAsia" w:ascii="Times New Roman" w:hAnsi="Times New Roman" w:eastAsia="宋体" w:cs="Times New Roman"/>
                <w:b/>
                <w:bCs/>
                <w:sz w:val="13"/>
                <w:szCs w:val="13"/>
                <w:lang w:val="en-US" w:eastAsia="zh-CN"/>
              </w:rPr>
              <w:t>氯化钾</w:t>
            </w:r>
          </w:p>
        </w:tc>
        <w:tc>
          <w:tcPr>
            <w:tcW w:w="0" w:type="auto"/>
            <w:shd w:val="clear" w:color="auto" w:fill="auto"/>
            <w:vAlign w:val="top"/>
          </w:tcPr>
          <w:p w14:paraId="2D634FF1">
            <w:pPr>
              <w:keepLines w:val="0"/>
              <w:pageBreakBefore w:val="0"/>
              <w:wordWrap/>
              <w:overflowPunct/>
              <w:topLinePunct w:val="0"/>
              <w:bidi w:val="0"/>
              <w:spacing w:line="360" w:lineRule="auto"/>
              <w:rPr>
                <w:rFonts w:hint="eastAsia" w:ascii="Times New Roman" w:hAnsi="Times New Roman" w:eastAsia="宋体" w:cs="Times New Roman"/>
                <w:b/>
                <w:bCs/>
                <w:kern w:val="2"/>
                <w:sz w:val="13"/>
                <w:szCs w:val="13"/>
                <w:lang w:val="en-US" w:eastAsia="zh-CN" w:bidi="ar-SA"/>
              </w:rPr>
            </w:pPr>
            <w:r>
              <w:rPr>
                <w:rFonts w:hint="eastAsia" w:ascii="Times New Roman" w:hAnsi="Times New Roman" w:eastAsia="宋体" w:cs="Times New Roman"/>
                <w:b/>
                <w:bCs/>
                <w:sz w:val="13"/>
                <w:szCs w:val="13"/>
              </w:rPr>
              <w:t>氯化铵</w:t>
            </w:r>
          </w:p>
        </w:tc>
        <w:tc>
          <w:tcPr>
            <w:tcW w:w="0" w:type="auto"/>
            <w:shd w:val="clear" w:color="auto" w:fill="auto"/>
            <w:vAlign w:val="top"/>
          </w:tcPr>
          <w:p w14:paraId="07661BFB">
            <w:pPr>
              <w:keepLines w:val="0"/>
              <w:pageBreakBefore w:val="0"/>
              <w:wordWrap/>
              <w:overflowPunct/>
              <w:topLinePunct w:val="0"/>
              <w:bidi w:val="0"/>
              <w:spacing w:line="360" w:lineRule="auto"/>
              <w:rPr>
                <w:rFonts w:hint="eastAsia" w:ascii="Times New Roman" w:hAnsi="Times New Roman" w:eastAsia="宋体" w:cs="Times New Roman"/>
                <w:b/>
                <w:bCs/>
                <w:kern w:val="2"/>
                <w:sz w:val="13"/>
                <w:szCs w:val="13"/>
                <w:lang w:val="en-US" w:eastAsia="zh-CN" w:bidi="ar-SA"/>
              </w:rPr>
            </w:pPr>
            <w:r>
              <w:rPr>
                <w:rFonts w:ascii="Times New Roman" w:hAnsi="Times New Roman" w:eastAsia="宋体" w:cs="Times New Roman"/>
                <w:b/>
                <w:bCs/>
                <w:sz w:val="13"/>
                <w:szCs w:val="13"/>
              </w:rPr>
              <w:t xml:space="preserve"> </w:t>
            </w:r>
            <w:r>
              <w:rPr>
                <w:rFonts w:hint="eastAsia" w:ascii="Times New Roman" w:hAnsi="Times New Roman" w:eastAsia="宋体" w:cs="Times New Roman"/>
                <w:b/>
                <w:bCs/>
                <w:sz w:val="13"/>
                <w:szCs w:val="13"/>
                <w:lang w:val="en-US" w:eastAsia="zh-CN"/>
              </w:rPr>
              <w:t>膨润土</w:t>
            </w:r>
          </w:p>
        </w:tc>
        <w:tc>
          <w:tcPr>
            <w:tcW w:w="0" w:type="auto"/>
            <w:shd w:val="clear" w:color="auto" w:fill="auto"/>
            <w:vAlign w:val="top"/>
          </w:tcPr>
          <w:p w14:paraId="68FC2CF7">
            <w:pPr>
              <w:keepLines w:val="0"/>
              <w:pageBreakBefore w:val="0"/>
              <w:wordWrap/>
              <w:overflowPunct/>
              <w:topLinePunct w:val="0"/>
              <w:bidi w:val="0"/>
              <w:spacing w:line="360" w:lineRule="auto"/>
              <w:rPr>
                <w:rFonts w:hint="default" w:ascii="Times New Roman" w:hAnsi="Times New Roman" w:eastAsia="宋体" w:cs="Times New Roman"/>
                <w:b/>
                <w:bCs/>
                <w:kern w:val="2"/>
                <w:sz w:val="13"/>
                <w:szCs w:val="13"/>
                <w:lang w:val="en-US" w:eastAsia="zh-CN" w:bidi="ar-SA"/>
              </w:rPr>
            </w:pPr>
            <w:r>
              <w:rPr>
                <w:rFonts w:ascii="Times New Roman" w:hAnsi="Times New Roman" w:eastAsia="宋体" w:cs="Times New Roman"/>
                <w:b/>
                <w:bCs/>
                <w:sz w:val="13"/>
                <w:szCs w:val="13"/>
              </w:rPr>
              <w:t>尿素</w:t>
            </w:r>
          </w:p>
        </w:tc>
        <w:tc>
          <w:tcPr>
            <w:tcW w:w="618" w:type="dxa"/>
            <w:shd w:val="clear" w:color="auto" w:fill="auto"/>
            <w:vAlign w:val="top"/>
          </w:tcPr>
          <w:p w14:paraId="1CA6BB4C">
            <w:pPr>
              <w:keepLines w:val="0"/>
              <w:pageBreakBefore w:val="0"/>
              <w:wordWrap/>
              <w:overflowPunct/>
              <w:topLinePunct w:val="0"/>
              <w:bidi w:val="0"/>
              <w:spacing w:line="360" w:lineRule="auto"/>
              <w:rPr>
                <w:rFonts w:hint="default" w:ascii="Times New Roman" w:hAnsi="Times New Roman" w:eastAsia="宋体" w:cs="Times New Roman"/>
                <w:b/>
                <w:bCs/>
                <w:kern w:val="2"/>
                <w:sz w:val="13"/>
                <w:szCs w:val="13"/>
                <w:lang w:val="en-US" w:eastAsia="zh-CN" w:bidi="ar-SA"/>
              </w:rPr>
            </w:pPr>
            <w:r>
              <w:rPr>
                <w:rFonts w:hint="eastAsia" w:ascii="Times New Roman" w:hAnsi="Times New Roman" w:eastAsia="宋体" w:cs="Times New Roman"/>
                <w:b/>
                <w:bCs/>
                <w:sz w:val="13"/>
                <w:szCs w:val="13"/>
                <w:lang w:val="en-US" w:eastAsia="zh-CN"/>
              </w:rPr>
              <w:t>二铵</w:t>
            </w:r>
          </w:p>
        </w:tc>
        <w:tc>
          <w:tcPr>
            <w:tcW w:w="663" w:type="dxa"/>
            <w:shd w:val="clear" w:color="auto" w:fill="auto"/>
            <w:vAlign w:val="top"/>
          </w:tcPr>
          <w:p w14:paraId="338DE382">
            <w:pPr>
              <w:keepLines w:val="0"/>
              <w:pageBreakBefore w:val="0"/>
              <w:wordWrap/>
              <w:overflowPunct/>
              <w:topLinePunct w:val="0"/>
              <w:bidi w:val="0"/>
              <w:spacing w:line="360" w:lineRule="auto"/>
              <w:rPr>
                <w:rFonts w:hint="eastAsia" w:ascii="Times New Roman" w:hAnsi="Times New Roman" w:eastAsia="宋体" w:cs="Times New Roman"/>
                <w:b/>
                <w:bCs/>
                <w:kern w:val="2"/>
                <w:sz w:val="13"/>
                <w:szCs w:val="13"/>
                <w:lang w:val="en-US" w:eastAsia="zh-CN" w:bidi="ar-SA"/>
              </w:rPr>
            </w:pPr>
            <w:r>
              <w:rPr>
                <w:rFonts w:hint="eastAsia" w:ascii="Times New Roman" w:hAnsi="Times New Roman" w:eastAsia="宋体" w:cs="Times New Roman"/>
                <w:b/>
                <w:bCs/>
                <w:sz w:val="13"/>
                <w:szCs w:val="13"/>
                <w:lang w:val="en-US" w:eastAsia="zh-CN"/>
              </w:rPr>
              <w:t>氯化钾</w:t>
            </w:r>
          </w:p>
        </w:tc>
        <w:tc>
          <w:tcPr>
            <w:tcW w:w="700" w:type="dxa"/>
            <w:shd w:val="clear" w:color="auto" w:fill="auto"/>
            <w:vAlign w:val="top"/>
          </w:tcPr>
          <w:p w14:paraId="5784D705">
            <w:pPr>
              <w:keepLines w:val="0"/>
              <w:pageBreakBefore w:val="0"/>
              <w:wordWrap/>
              <w:overflowPunct/>
              <w:topLinePunct w:val="0"/>
              <w:bidi w:val="0"/>
              <w:spacing w:line="360" w:lineRule="auto"/>
              <w:rPr>
                <w:rFonts w:hint="eastAsia" w:ascii="Times New Roman" w:hAnsi="Times New Roman" w:eastAsia="宋体" w:cs="Times New Roman"/>
                <w:b/>
                <w:bCs/>
                <w:kern w:val="2"/>
                <w:sz w:val="13"/>
                <w:szCs w:val="13"/>
                <w:lang w:val="en-US" w:eastAsia="zh-CN" w:bidi="ar-SA"/>
              </w:rPr>
            </w:pPr>
            <w:r>
              <w:rPr>
                <w:rFonts w:hint="eastAsia" w:ascii="Times New Roman" w:hAnsi="Times New Roman" w:eastAsia="宋体" w:cs="Times New Roman"/>
                <w:b/>
                <w:bCs/>
                <w:sz w:val="13"/>
                <w:szCs w:val="13"/>
              </w:rPr>
              <w:t>氯化铵</w:t>
            </w:r>
          </w:p>
        </w:tc>
        <w:tc>
          <w:tcPr>
            <w:tcW w:w="763" w:type="dxa"/>
            <w:shd w:val="clear" w:color="auto" w:fill="auto"/>
            <w:vAlign w:val="top"/>
          </w:tcPr>
          <w:p w14:paraId="540FFB3F">
            <w:pPr>
              <w:keepLines w:val="0"/>
              <w:pageBreakBefore w:val="0"/>
              <w:wordWrap/>
              <w:overflowPunct/>
              <w:topLinePunct w:val="0"/>
              <w:bidi w:val="0"/>
              <w:spacing w:line="360" w:lineRule="auto"/>
              <w:rPr>
                <w:rFonts w:hint="default" w:ascii="Times New Roman" w:hAnsi="Times New Roman" w:eastAsia="宋体" w:cs="Times New Roman"/>
                <w:b/>
                <w:bCs/>
                <w:kern w:val="2"/>
                <w:sz w:val="13"/>
                <w:szCs w:val="13"/>
                <w:lang w:val="en-US" w:eastAsia="zh-CN" w:bidi="ar-SA"/>
              </w:rPr>
            </w:pPr>
            <w:r>
              <w:rPr>
                <w:rFonts w:ascii="Times New Roman" w:hAnsi="Times New Roman" w:eastAsia="宋体" w:cs="Times New Roman"/>
                <w:b/>
                <w:bCs/>
                <w:sz w:val="13"/>
                <w:szCs w:val="13"/>
              </w:rPr>
              <w:t xml:space="preserve"> </w:t>
            </w:r>
            <w:r>
              <w:rPr>
                <w:rFonts w:hint="eastAsia" w:ascii="Times New Roman" w:hAnsi="Times New Roman" w:eastAsia="宋体" w:cs="Times New Roman"/>
                <w:b/>
                <w:bCs/>
                <w:sz w:val="13"/>
                <w:szCs w:val="13"/>
                <w:lang w:val="en-US" w:eastAsia="zh-CN"/>
              </w:rPr>
              <w:t>膨润土</w:t>
            </w:r>
          </w:p>
        </w:tc>
        <w:tc>
          <w:tcPr>
            <w:tcW w:w="1172" w:type="dxa"/>
            <w:shd w:val="clear" w:color="auto" w:fill="auto"/>
            <w:vAlign w:val="top"/>
          </w:tcPr>
          <w:p w14:paraId="5A56E309">
            <w:pPr>
              <w:keepLines w:val="0"/>
              <w:pageBreakBefore w:val="0"/>
              <w:wordWrap/>
              <w:overflowPunct/>
              <w:topLinePunct w:val="0"/>
              <w:bidi w:val="0"/>
              <w:spacing w:line="360" w:lineRule="auto"/>
              <w:rPr>
                <w:rFonts w:ascii="Times New Roman" w:hAnsi="Times New Roman" w:eastAsia="宋体" w:cs="Times New Roman"/>
                <w:b/>
                <w:bCs/>
                <w:sz w:val="13"/>
                <w:szCs w:val="13"/>
              </w:rPr>
            </w:pPr>
          </w:p>
        </w:tc>
      </w:tr>
      <w:tr w14:paraId="6DB84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4194A54">
            <w:pPr>
              <w:keepLines w:val="0"/>
              <w:pageBreakBefore w:val="0"/>
              <w:wordWrap/>
              <w:overflowPunct/>
              <w:topLinePunct w:val="0"/>
              <w:bidi w:val="0"/>
              <w:spacing w:line="360" w:lineRule="auto"/>
              <w:rPr>
                <w:rFonts w:ascii="Times New Roman" w:hAnsi="Times New Roman" w:eastAsia="宋体" w:cs="Times New Roman"/>
                <w:sz w:val="16"/>
                <w:szCs w:val="16"/>
              </w:rPr>
            </w:pPr>
            <w:r>
              <w:rPr>
                <w:rFonts w:ascii="Times New Roman" w:hAnsi="Times New Roman" w:eastAsia="宋体" w:cs="Times New Roman"/>
                <w:sz w:val="16"/>
                <w:szCs w:val="16"/>
              </w:rPr>
              <w:t>（1）</w:t>
            </w:r>
          </w:p>
        </w:tc>
        <w:tc>
          <w:tcPr>
            <w:tcW w:w="0" w:type="auto"/>
            <w:vAlign w:val="center"/>
          </w:tcPr>
          <w:p w14:paraId="71EBB3A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69.30 </w:t>
            </w:r>
          </w:p>
        </w:tc>
        <w:tc>
          <w:tcPr>
            <w:tcW w:w="0" w:type="auto"/>
            <w:vAlign w:val="center"/>
          </w:tcPr>
          <w:p w14:paraId="6954A00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0.00 </w:t>
            </w:r>
          </w:p>
        </w:tc>
        <w:tc>
          <w:tcPr>
            <w:tcW w:w="0" w:type="auto"/>
            <w:vAlign w:val="center"/>
          </w:tcPr>
          <w:p w14:paraId="0ADBFB1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80.65 </w:t>
            </w:r>
          </w:p>
        </w:tc>
        <w:tc>
          <w:tcPr>
            <w:tcW w:w="0" w:type="auto"/>
            <w:vAlign w:val="center"/>
          </w:tcPr>
          <w:p w14:paraId="3A17C1C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646.62 </w:t>
            </w:r>
          </w:p>
        </w:tc>
        <w:tc>
          <w:tcPr>
            <w:tcW w:w="0" w:type="auto"/>
            <w:vAlign w:val="center"/>
          </w:tcPr>
          <w:p w14:paraId="02B546F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203.43 </w:t>
            </w:r>
          </w:p>
        </w:tc>
        <w:tc>
          <w:tcPr>
            <w:tcW w:w="0" w:type="auto"/>
            <w:vAlign w:val="center"/>
          </w:tcPr>
          <w:p w14:paraId="129E41B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4.85 </w:t>
            </w:r>
          </w:p>
        </w:tc>
        <w:tc>
          <w:tcPr>
            <w:tcW w:w="618" w:type="dxa"/>
            <w:vAlign w:val="center"/>
          </w:tcPr>
          <w:p w14:paraId="74E90BD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0.00 </w:t>
            </w:r>
          </w:p>
        </w:tc>
        <w:tc>
          <w:tcPr>
            <w:tcW w:w="663" w:type="dxa"/>
            <w:vAlign w:val="center"/>
          </w:tcPr>
          <w:p w14:paraId="551C541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5.65 </w:t>
            </w:r>
          </w:p>
        </w:tc>
        <w:tc>
          <w:tcPr>
            <w:tcW w:w="700" w:type="dxa"/>
            <w:vAlign w:val="center"/>
          </w:tcPr>
          <w:p w14:paraId="2709912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lang w:val="en-US" w:eastAsia="zh-CN"/>
              </w:rPr>
            </w:pPr>
            <w:r>
              <w:rPr>
                <w:rFonts w:hint="default" w:ascii="Times New Roman" w:hAnsi="Times New Roman" w:eastAsia="等线" w:cs="Times New Roman"/>
                <w:i w:val="0"/>
                <w:iCs w:val="0"/>
                <w:color w:val="000000"/>
                <w:kern w:val="0"/>
                <w:sz w:val="16"/>
                <w:szCs w:val="16"/>
                <w:u w:val="none"/>
                <w:lang w:val="en-US" w:eastAsia="zh-CN" w:bidi="ar"/>
              </w:rPr>
              <w:t xml:space="preserve">45.26 </w:t>
            </w:r>
          </w:p>
        </w:tc>
        <w:tc>
          <w:tcPr>
            <w:tcW w:w="763" w:type="dxa"/>
            <w:shd w:val="clear" w:color="auto" w:fill="auto"/>
            <w:vAlign w:val="center"/>
          </w:tcPr>
          <w:p w14:paraId="6DEA404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kern w:val="2"/>
                <w:sz w:val="15"/>
                <w:szCs w:val="15"/>
                <w:lang w:val="en-US" w:eastAsia="zh-CN" w:bidi="ar-SA"/>
              </w:rPr>
            </w:pPr>
            <w:r>
              <w:rPr>
                <w:rFonts w:hint="default" w:ascii="Times New Roman" w:hAnsi="Times New Roman" w:eastAsia="等线" w:cs="Times New Roman"/>
                <w:i w:val="0"/>
                <w:iCs w:val="0"/>
                <w:color w:val="000000"/>
                <w:kern w:val="0"/>
                <w:sz w:val="16"/>
                <w:szCs w:val="16"/>
                <w:u w:val="none"/>
                <w:lang w:val="en-US" w:eastAsia="zh-CN" w:bidi="ar"/>
              </w:rPr>
              <w:t xml:space="preserve">14.24 </w:t>
            </w:r>
          </w:p>
        </w:tc>
        <w:tc>
          <w:tcPr>
            <w:tcW w:w="1172" w:type="dxa"/>
            <w:shd w:val="clear" w:color="auto" w:fill="auto"/>
            <w:vAlign w:val="center"/>
          </w:tcPr>
          <w:p w14:paraId="520BDA2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等线" w:cs="Times New Roman"/>
                <w:i w:val="0"/>
                <w:iCs w:val="0"/>
                <w:color w:val="000000"/>
                <w:kern w:val="0"/>
                <w:sz w:val="16"/>
                <w:szCs w:val="16"/>
                <w:u w:val="none"/>
                <w:lang w:val="en-US" w:eastAsia="zh-CN" w:bidi="ar"/>
              </w:rPr>
            </w:pPr>
            <w:r>
              <w:rPr>
                <w:rFonts w:hint="eastAsia" w:ascii="Times New Roman" w:hAnsi="Times New Roman" w:eastAsia="等线" w:cs="Times New Roman"/>
                <w:i w:val="0"/>
                <w:iCs w:val="0"/>
                <w:color w:val="000000"/>
                <w:kern w:val="0"/>
                <w:sz w:val="16"/>
                <w:szCs w:val="16"/>
                <w:u w:val="none"/>
                <w:lang w:val="en-US" w:eastAsia="zh-CN" w:bidi="ar"/>
              </w:rPr>
              <w:t xml:space="preserve">70.00 </w:t>
            </w:r>
          </w:p>
        </w:tc>
      </w:tr>
      <w:tr w14:paraId="77EE2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676839E">
            <w:pPr>
              <w:keepLines w:val="0"/>
              <w:pageBreakBefore w:val="0"/>
              <w:wordWrap/>
              <w:overflowPunct/>
              <w:topLinePunct w:val="0"/>
              <w:bidi w:val="0"/>
              <w:spacing w:line="360" w:lineRule="auto"/>
              <w:rPr>
                <w:rFonts w:ascii="Times New Roman" w:hAnsi="Times New Roman" w:eastAsia="宋体" w:cs="Times New Roman"/>
                <w:sz w:val="16"/>
                <w:szCs w:val="16"/>
              </w:rPr>
            </w:pPr>
            <w:r>
              <w:rPr>
                <w:rFonts w:ascii="Times New Roman" w:hAnsi="Times New Roman" w:eastAsia="宋体" w:cs="Times New Roman"/>
                <w:sz w:val="16"/>
                <w:szCs w:val="16"/>
              </w:rPr>
              <w:t>（2）</w:t>
            </w:r>
          </w:p>
        </w:tc>
        <w:tc>
          <w:tcPr>
            <w:tcW w:w="0" w:type="auto"/>
            <w:vAlign w:val="center"/>
          </w:tcPr>
          <w:p w14:paraId="05706E2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110.40 </w:t>
            </w:r>
          </w:p>
        </w:tc>
        <w:tc>
          <w:tcPr>
            <w:tcW w:w="0" w:type="auto"/>
            <w:vAlign w:val="center"/>
          </w:tcPr>
          <w:p w14:paraId="1D267FE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81.97 </w:t>
            </w:r>
          </w:p>
        </w:tc>
        <w:tc>
          <w:tcPr>
            <w:tcW w:w="0" w:type="auto"/>
            <w:vAlign w:val="center"/>
          </w:tcPr>
          <w:p w14:paraId="5362E35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112.90 </w:t>
            </w:r>
          </w:p>
        </w:tc>
        <w:tc>
          <w:tcPr>
            <w:tcW w:w="0" w:type="auto"/>
            <w:vAlign w:val="center"/>
          </w:tcPr>
          <w:p w14:paraId="7012CEF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536.08 </w:t>
            </w:r>
          </w:p>
        </w:tc>
        <w:tc>
          <w:tcPr>
            <w:tcW w:w="0" w:type="auto"/>
            <w:vAlign w:val="center"/>
          </w:tcPr>
          <w:p w14:paraId="4B9A7BE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158.65 </w:t>
            </w:r>
          </w:p>
        </w:tc>
        <w:tc>
          <w:tcPr>
            <w:tcW w:w="0" w:type="auto"/>
            <w:vAlign w:val="center"/>
          </w:tcPr>
          <w:p w14:paraId="1246955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7.73 </w:t>
            </w:r>
          </w:p>
        </w:tc>
        <w:tc>
          <w:tcPr>
            <w:tcW w:w="618" w:type="dxa"/>
            <w:vAlign w:val="center"/>
          </w:tcPr>
          <w:p w14:paraId="61724A8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5.74 </w:t>
            </w:r>
          </w:p>
        </w:tc>
        <w:tc>
          <w:tcPr>
            <w:tcW w:w="663" w:type="dxa"/>
            <w:vAlign w:val="center"/>
          </w:tcPr>
          <w:p w14:paraId="35E2EB6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7.90 </w:t>
            </w:r>
          </w:p>
        </w:tc>
        <w:tc>
          <w:tcPr>
            <w:tcW w:w="700" w:type="dxa"/>
            <w:vAlign w:val="center"/>
          </w:tcPr>
          <w:p w14:paraId="3F930F1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lang w:val="en-US" w:eastAsia="zh-CN"/>
              </w:rPr>
            </w:pPr>
            <w:r>
              <w:rPr>
                <w:rFonts w:hint="default" w:ascii="Times New Roman" w:hAnsi="Times New Roman" w:eastAsia="等线" w:cs="Times New Roman"/>
                <w:i w:val="0"/>
                <w:iCs w:val="0"/>
                <w:color w:val="000000"/>
                <w:kern w:val="0"/>
                <w:sz w:val="16"/>
                <w:szCs w:val="16"/>
                <w:u w:val="none"/>
                <w:lang w:val="en-US" w:eastAsia="zh-CN" w:bidi="ar"/>
              </w:rPr>
              <w:t xml:space="preserve">37.53 </w:t>
            </w:r>
          </w:p>
        </w:tc>
        <w:tc>
          <w:tcPr>
            <w:tcW w:w="763" w:type="dxa"/>
            <w:shd w:val="clear" w:color="auto" w:fill="auto"/>
            <w:vAlign w:val="center"/>
          </w:tcPr>
          <w:p w14:paraId="2260140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kern w:val="2"/>
                <w:sz w:val="15"/>
                <w:szCs w:val="15"/>
                <w:lang w:val="en-US" w:eastAsia="zh-CN" w:bidi="ar-SA"/>
              </w:rPr>
            </w:pPr>
            <w:r>
              <w:rPr>
                <w:rFonts w:hint="default" w:ascii="Times New Roman" w:hAnsi="Times New Roman" w:eastAsia="等线" w:cs="Times New Roman"/>
                <w:i w:val="0"/>
                <w:iCs w:val="0"/>
                <w:color w:val="000000"/>
                <w:kern w:val="0"/>
                <w:sz w:val="16"/>
                <w:szCs w:val="16"/>
                <w:u w:val="none"/>
                <w:lang w:val="en-US" w:eastAsia="zh-CN" w:bidi="ar"/>
              </w:rPr>
              <w:t xml:space="preserve">11.11 </w:t>
            </w:r>
          </w:p>
        </w:tc>
        <w:tc>
          <w:tcPr>
            <w:tcW w:w="1172" w:type="dxa"/>
            <w:shd w:val="clear" w:color="auto" w:fill="auto"/>
            <w:vAlign w:val="center"/>
          </w:tcPr>
          <w:p w14:paraId="35B1D6F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等线" w:cs="Times New Roman"/>
                <w:i w:val="0"/>
                <w:iCs w:val="0"/>
                <w:color w:val="000000"/>
                <w:kern w:val="0"/>
                <w:sz w:val="16"/>
                <w:szCs w:val="16"/>
                <w:u w:val="none"/>
                <w:lang w:val="en-US" w:eastAsia="zh-CN" w:bidi="ar"/>
              </w:rPr>
            </w:pPr>
            <w:r>
              <w:rPr>
                <w:rFonts w:hint="eastAsia" w:ascii="Times New Roman" w:hAnsi="Times New Roman" w:eastAsia="等线" w:cs="Times New Roman"/>
                <w:i w:val="0"/>
                <w:iCs w:val="0"/>
                <w:color w:val="000000"/>
                <w:kern w:val="0"/>
                <w:sz w:val="16"/>
                <w:szCs w:val="16"/>
                <w:u w:val="none"/>
                <w:lang w:val="en-US" w:eastAsia="zh-CN" w:bidi="ar"/>
              </w:rPr>
              <w:t xml:space="preserve">70.00 </w:t>
            </w:r>
          </w:p>
        </w:tc>
      </w:tr>
      <w:tr w14:paraId="42721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vAlign w:val="top"/>
          </w:tcPr>
          <w:p w14:paraId="63AA65E1">
            <w:pPr>
              <w:keepLines w:val="0"/>
              <w:pageBreakBefore w:val="0"/>
              <w:wordWrap/>
              <w:overflowPunct/>
              <w:topLinePunct w:val="0"/>
              <w:bidi w:val="0"/>
              <w:spacing w:line="360" w:lineRule="auto"/>
              <w:rPr>
                <w:rFonts w:ascii="Times New Roman" w:hAnsi="Times New Roman" w:eastAsia="宋体" w:cs="Times New Roman"/>
                <w:kern w:val="2"/>
                <w:sz w:val="16"/>
                <w:szCs w:val="16"/>
                <w:lang w:val="en-US" w:eastAsia="zh-CN" w:bidi="ar-SA"/>
              </w:rPr>
            </w:pPr>
            <w:r>
              <w:rPr>
                <w:rFonts w:ascii="Times New Roman" w:hAnsi="Times New Roman" w:eastAsia="宋体" w:cs="Times New Roman"/>
                <w:sz w:val="16"/>
                <w:szCs w:val="16"/>
              </w:rPr>
              <w:t>（3）</w:t>
            </w:r>
          </w:p>
        </w:tc>
        <w:tc>
          <w:tcPr>
            <w:tcW w:w="0" w:type="auto"/>
            <w:shd w:val="clear" w:color="auto" w:fill="auto"/>
            <w:vAlign w:val="center"/>
          </w:tcPr>
          <w:p w14:paraId="3745803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kern w:val="2"/>
                <w:sz w:val="15"/>
                <w:szCs w:val="15"/>
                <w:lang w:val="en-US" w:eastAsia="zh-CN" w:bidi="ar-SA"/>
              </w:rPr>
            </w:pPr>
            <w:r>
              <w:rPr>
                <w:rFonts w:hint="default" w:ascii="Times New Roman" w:hAnsi="Times New Roman" w:eastAsia="等线" w:cs="Times New Roman"/>
                <w:i w:val="0"/>
                <w:iCs w:val="0"/>
                <w:color w:val="000000"/>
                <w:kern w:val="0"/>
                <w:sz w:val="16"/>
                <w:szCs w:val="16"/>
                <w:u w:val="none"/>
                <w:lang w:val="en-US" w:eastAsia="zh-CN" w:bidi="ar"/>
              </w:rPr>
              <w:t xml:space="preserve">363.50 </w:t>
            </w:r>
          </w:p>
        </w:tc>
        <w:tc>
          <w:tcPr>
            <w:tcW w:w="0" w:type="auto"/>
            <w:vAlign w:val="center"/>
          </w:tcPr>
          <w:p w14:paraId="7711F3C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98.36 </w:t>
            </w:r>
          </w:p>
        </w:tc>
        <w:tc>
          <w:tcPr>
            <w:tcW w:w="0" w:type="auto"/>
            <w:vAlign w:val="center"/>
          </w:tcPr>
          <w:p w14:paraId="001D78D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161.29 </w:t>
            </w:r>
          </w:p>
        </w:tc>
        <w:tc>
          <w:tcPr>
            <w:tcW w:w="0" w:type="auto"/>
            <w:vAlign w:val="center"/>
          </w:tcPr>
          <w:p w14:paraId="065F88B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234.56 </w:t>
            </w:r>
          </w:p>
        </w:tc>
        <w:tc>
          <w:tcPr>
            <w:tcW w:w="0" w:type="auto"/>
            <w:vAlign w:val="center"/>
          </w:tcPr>
          <w:p w14:paraId="4C5B035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142.28 </w:t>
            </w:r>
          </w:p>
        </w:tc>
        <w:tc>
          <w:tcPr>
            <w:tcW w:w="0" w:type="auto"/>
            <w:vAlign w:val="center"/>
          </w:tcPr>
          <w:p w14:paraId="7F9C828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21.20 </w:t>
            </w:r>
          </w:p>
        </w:tc>
        <w:tc>
          <w:tcPr>
            <w:tcW w:w="618" w:type="dxa"/>
            <w:vAlign w:val="center"/>
          </w:tcPr>
          <w:p w14:paraId="5830F3C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5.74 </w:t>
            </w:r>
          </w:p>
        </w:tc>
        <w:tc>
          <w:tcPr>
            <w:tcW w:w="663" w:type="dxa"/>
            <w:vAlign w:val="center"/>
          </w:tcPr>
          <w:p w14:paraId="1F50893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9.41 </w:t>
            </w:r>
          </w:p>
        </w:tc>
        <w:tc>
          <w:tcPr>
            <w:tcW w:w="700" w:type="dxa"/>
            <w:vAlign w:val="center"/>
          </w:tcPr>
          <w:p w14:paraId="113EDE6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lang w:val="en-US" w:eastAsia="zh-CN"/>
              </w:rPr>
            </w:pPr>
            <w:r>
              <w:rPr>
                <w:rFonts w:hint="default" w:ascii="Times New Roman" w:hAnsi="Times New Roman" w:eastAsia="等线" w:cs="Times New Roman"/>
                <w:i w:val="0"/>
                <w:iCs w:val="0"/>
                <w:color w:val="000000"/>
                <w:kern w:val="0"/>
                <w:sz w:val="16"/>
                <w:szCs w:val="16"/>
                <w:u w:val="none"/>
                <w:lang w:val="en-US" w:eastAsia="zh-CN" w:bidi="ar"/>
              </w:rPr>
              <w:t xml:space="preserve">13.68 </w:t>
            </w:r>
          </w:p>
        </w:tc>
        <w:tc>
          <w:tcPr>
            <w:tcW w:w="763" w:type="dxa"/>
            <w:shd w:val="clear" w:color="auto" w:fill="auto"/>
            <w:vAlign w:val="center"/>
          </w:tcPr>
          <w:p w14:paraId="499A0FB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lang w:val="en-US" w:eastAsia="zh-CN"/>
              </w:rPr>
            </w:pPr>
            <w:r>
              <w:rPr>
                <w:rFonts w:hint="default" w:ascii="Times New Roman" w:hAnsi="Times New Roman" w:eastAsia="等线" w:cs="Times New Roman"/>
                <w:i w:val="0"/>
                <w:iCs w:val="0"/>
                <w:color w:val="000000"/>
                <w:kern w:val="0"/>
                <w:sz w:val="16"/>
                <w:szCs w:val="16"/>
                <w:u w:val="none"/>
                <w:lang w:val="en-US" w:eastAsia="zh-CN" w:bidi="ar"/>
              </w:rPr>
              <w:t xml:space="preserve">8.30 </w:t>
            </w:r>
          </w:p>
        </w:tc>
        <w:tc>
          <w:tcPr>
            <w:tcW w:w="1172" w:type="dxa"/>
            <w:shd w:val="clear" w:color="auto" w:fill="auto"/>
            <w:vAlign w:val="center"/>
          </w:tcPr>
          <w:p w14:paraId="133F9220">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6"/>
                <w:szCs w:val="16"/>
                <w:u w:val="none"/>
                <w:lang w:val="en-US" w:eastAsia="zh-CN" w:bidi="ar"/>
              </w:rPr>
            </w:pPr>
            <w:r>
              <w:rPr>
                <w:rFonts w:hint="eastAsia" w:ascii="Times New Roman" w:hAnsi="Times New Roman" w:eastAsia="等线" w:cs="Times New Roman"/>
                <w:i w:val="0"/>
                <w:iCs w:val="0"/>
                <w:color w:val="000000"/>
                <w:kern w:val="0"/>
                <w:sz w:val="16"/>
                <w:szCs w:val="16"/>
                <w:u w:val="none"/>
                <w:lang w:val="en-US" w:eastAsia="zh-CN" w:bidi="ar"/>
              </w:rPr>
              <w:t xml:space="preserve">58.33 </w:t>
            </w:r>
          </w:p>
        </w:tc>
      </w:tr>
      <w:tr w14:paraId="7FAF6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vAlign w:val="top"/>
          </w:tcPr>
          <w:p w14:paraId="09E9B656">
            <w:pPr>
              <w:keepLines w:val="0"/>
              <w:pageBreakBefore w:val="0"/>
              <w:wordWrap/>
              <w:overflowPunct/>
              <w:topLinePunct w:val="0"/>
              <w:bidi w:val="0"/>
              <w:spacing w:line="360" w:lineRule="auto"/>
              <w:rPr>
                <w:rFonts w:ascii="Times New Roman" w:hAnsi="Times New Roman" w:eastAsia="宋体" w:cs="Times New Roman"/>
                <w:kern w:val="2"/>
                <w:sz w:val="16"/>
                <w:szCs w:val="16"/>
                <w:lang w:val="en-US" w:eastAsia="zh-CN" w:bidi="ar-SA"/>
              </w:rPr>
            </w:pPr>
            <w:r>
              <w:rPr>
                <w:rFonts w:ascii="Times New Roman" w:hAnsi="Times New Roman" w:eastAsia="宋体" w:cs="Times New Roman"/>
                <w:sz w:val="16"/>
                <w:szCs w:val="16"/>
              </w:rPr>
              <w:t>（4）</w:t>
            </w:r>
          </w:p>
        </w:tc>
        <w:tc>
          <w:tcPr>
            <w:tcW w:w="0" w:type="auto"/>
            <w:shd w:val="clear" w:color="auto" w:fill="auto"/>
            <w:vAlign w:val="center"/>
          </w:tcPr>
          <w:p w14:paraId="58DE636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kern w:val="2"/>
                <w:sz w:val="15"/>
                <w:szCs w:val="15"/>
                <w:lang w:val="en-US" w:eastAsia="zh-CN" w:bidi="ar-SA"/>
              </w:rPr>
            </w:pPr>
            <w:r>
              <w:rPr>
                <w:rFonts w:hint="default" w:ascii="Times New Roman" w:hAnsi="Times New Roman" w:eastAsia="等线" w:cs="Times New Roman"/>
                <w:i w:val="0"/>
                <w:iCs w:val="0"/>
                <w:color w:val="000000"/>
                <w:kern w:val="0"/>
                <w:sz w:val="16"/>
                <w:szCs w:val="16"/>
                <w:u w:val="none"/>
                <w:lang w:val="en-US" w:eastAsia="zh-CN" w:bidi="ar"/>
              </w:rPr>
              <w:t xml:space="preserve">535.40 </w:t>
            </w:r>
          </w:p>
        </w:tc>
        <w:tc>
          <w:tcPr>
            <w:tcW w:w="0" w:type="auto"/>
            <w:vAlign w:val="center"/>
          </w:tcPr>
          <w:p w14:paraId="7DCED2B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lang w:val="en-US" w:eastAsia="zh-CN"/>
              </w:rPr>
            </w:pPr>
            <w:r>
              <w:rPr>
                <w:rFonts w:hint="default" w:ascii="Times New Roman" w:hAnsi="Times New Roman" w:eastAsia="等线" w:cs="Times New Roman"/>
                <w:i w:val="0"/>
                <w:iCs w:val="0"/>
                <w:color w:val="000000"/>
                <w:kern w:val="0"/>
                <w:sz w:val="16"/>
                <w:szCs w:val="16"/>
                <w:u w:val="none"/>
                <w:lang w:val="en-US" w:eastAsia="zh-CN" w:bidi="ar"/>
              </w:rPr>
              <w:t xml:space="preserve">163.93 </w:t>
            </w:r>
          </w:p>
        </w:tc>
        <w:tc>
          <w:tcPr>
            <w:tcW w:w="0" w:type="auto"/>
            <w:vAlign w:val="center"/>
          </w:tcPr>
          <w:p w14:paraId="049D338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209.68 </w:t>
            </w:r>
          </w:p>
        </w:tc>
        <w:tc>
          <w:tcPr>
            <w:tcW w:w="0" w:type="auto"/>
            <w:vAlign w:val="center"/>
          </w:tcPr>
          <w:p w14:paraId="7788DDB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15.55 </w:t>
            </w:r>
          </w:p>
        </w:tc>
        <w:tc>
          <w:tcPr>
            <w:tcW w:w="0" w:type="auto"/>
            <w:vAlign w:val="center"/>
          </w:tcPr>
          <w:p w14:paraId="7FFE55B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75.43 </w:t>
            </w:r>
          </w:p>
        </w:tc>
        <w:tc>
          <w:tcPr>
            <w:tcW w:w="0" w:type="auto"/>
            <w:vAlign w:val="center"/>
          </w:tcPr>
          <w:p w14:paraId="3886AB2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27.76 </w:t>
            </w:r>
          </w:p>
        </w:tc>
        <w:tc>
          <w:tcPr>
            <w:tcW w:w="618" w:type="dxa"/>
            <w:vAlign w:val="center"/>
          </w:tcPr>
          <w:p w14:paraId="49D0E10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8.50 </w:t>
            </w:r>
          </w:p>
        </w:tc>
        <w:tc>
          <w:tcPr>
            <w:tcW w:w="663" w:type="dxa"/>
            <w:vAlign w:val="center"/>
          </w:tcPr>
          <w:p w14:paraId="3533ACC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10.87 </w:t>
            </w:r>
          </w:p>
        </w:tc>
        <w:tc>
          <w:tcPr>
            <w:tcW w:w="700" w:type="dxa"/>
            <w:vAlign w:val="center"/>
          </w:tcPr>
          <w:p w14:paraId="3AC3B23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0.81 </w:t>
            </w:r>
          </w:p>
        </w:tc>
        <w:tc>
          <w:tcPr>
            <w:tcW w:w="763" w:type="dxa"/>
            <w:shd w:val="clear" w:color="auto" w:fill="auto"/>
            <w:vAlign w:val="center"/>
          </w:tcPr>
          <w:p w14:paraId="4442C49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kern w:val="2"/>
                <w:sz w:val="15"/>
                <w:szCs w:val="15"/>
                <w:lang w:val="en-US" w:eastAsia="zh-CN" w:bidi="ar-SA"/>
              </w:rPr>
            </w:pPr>
            <w:r>
              <w:rPr>
                <w:rFonts w:hint="default" w:ascii="Times New Roman" w:hAnsi="Times New Roman" w:eastAsia="等线" w:cs="Times New Roman"/>
                <w:i w:val="0"/>
                <w:iCs w:val="0"/>
                <w:color w:val="000000"/>
                <w:kern w:val="0"/>
                <w:sz w:val="16"/>
                <w:szCs w:val="16"/>
                <w:u w:val="none"/>
                <w:lang w:val="en-US" w:eastAsia="zh-CN" w:bidi="ar"/>
              </w:rPr>
              <w:t xml:space="preserve">3.91 </w:t>
            </w:r>
          </w:p>
        </w:tc>
        <w:tc>
          <w:tcPr>
            <w:tcW w:w="1172" w:type="dxa"/>
            <w:shd w:val="clear" w:color="auto" w:fill="auto"/>
            <w:vAlign w:val="center"/>
          </w:tcPr>
          <w:p w14:paraId="3B110CBD">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6"/>
                <w:szCs w:val="16"/>
                <w:u w:val="none"/>
                <w:lang w:val="en-US" w:eastAsia="zh-CN" w:bidi="ar"/>
              </w:rPr>
            </w:pPr>
            <w:r>
              <w:rPr>
                <w:rFonts w:hint="eastAsia" w:ascii="Times New Roman" w:hAnsi="Times New Roman" w:eastAsia="等线" w:cs="Times New Roman"/>
                <w:i w:val="0"/>
                <w:iCs w:val="0"/>
                <w:color w:val="000000"/>
                <w:kern w:val="0"/>
                <w:sz w:val="16"/>
                <w:szCs w:val="16"/>
                <w:u w:val="none"/>
                <w:lang w:val="en-US" w:eastAsia="zh-CN" w:bidi="ar"/>
              </w:rPr>
              <w:t xml:space="preserve">51.85 </w:t>
            </w:r>
          </w:p>
        </w:tc>
      </w:tr>
      <w:tr w14:paraId="769AD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vAlign w:val="top"/>
          </w:tcPr>
          <w:p w14:paraId="433C0BE8">
            <w:pPr>
              <w:keepLines w:val="0"/>
              <w:pageBreakBefore w:val="0"/>
              <w:wordWrap/>
              <w:overflowPunct/>
              <w:topLinePunct w:val="0"/>
              <w:bidi w:val="0"/>
              <w:spacing w:line="360" w:lineRule="auto"/>
              <w:rPr>
                <w:rFonts w:ascii="Times New Roman" w:hAnsi="Times New Roman" w:eastAsia="宋体" w:cs="Times New Roman"/>
                <w:kern w:val="2"/>
                <w:sz w:val="16"/>
                <w:szCs w:val="16"/>
                <w:lang w:val="en-US" w:eastAsia="zh-CN" w:bidi="ar-SA"/>
              </w:rPr>
            </w:pPr>
            <w:r>
              <w:rPr>
                <w:rFonts w:ascii="Times New Roman" w:hAnsi="Times New Roman" w:eastAsia="宋体" w:cs="Times New Roman"/>
                <w:sz w:val="16"/>
                <w:szCs w:val="16"/>
              </w:rPr>
              <w:t>（5）</w:t>
            </w:r>
          </w:p>
        </w:tc>
        <w:tc>
          <w:tcPr>
            <w:tcW w:w="0" w:type="auto"/>
            <w:vAlign w:val="center"/>
          </w:tcPr>
          <w:p w14:paraId="34F0BC8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541.40 </w:t>
            </w:r>
          </w:p>
        </w:tc>
        <w:tc>
          <w:tcPr>
            <w:tcW w:w="0" w:type="auto"/>
            <w:vAlign w:val="center"/>
          </w:tcPr>
          <w:p w14:paraId="3A5A370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lang w:val="en-US" w:eastAsia="zh-CN"/>
              </w:rPr>
            </w:pPr>
            <w:r>
              <w:rPr>
                <w:rFonts w:hint="default" w:ascii="Times New Roman" w:hAnsi="Times New Roman" w:eastAsia="等线" w:cs="Times New Roman"/>
                <w:i w:val="0"/>
                <w:iCs w:val="0"/>
                <w:color w:val="000000"/>
                <w:kern w:val="0"/>
                <w:sz w:val="16"/>
                <w:szCs w:val="16"/>
                <w:u w:val="none"/>
                <w:lang w:val="en-US" w:eastAsia="zh-CN" w:bidi="ar"/>
              </w:rPr>
              <w:t xml:space="preserve">81.97 </w:t>
            </w:r>
          </w:p>
        </w:tc>
        <w:tc>
          <w:tcPr>
            <w:tcW w:w="0" w:type="auto"/>
            <w:vAlign w:val="center"/>
          </w:tcPr>
          <w:p w14:paraId="3BA43A4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96.77 </w:t>
            </w:r>
          </w:p>
        </w:tc>
        <w:tc>
          <w:tcPr>
            <w:tcW w:w="0" w:type="auto"/>
            <w:vAlign w:val="center"/>
          </w:tcPr>
          <w:p w14:paraId="69E5C39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119.69 </w:t>
            </w:r>
          </w:p>
        </w:tc>
        <w:tc>
          <w:tcPr>
            <w:tcW w:w="0" w:type="auto"/>
            <w:vAlign w:val="center"/>
          </w:tcPr>
          <w:p w14:paraId="2C284A1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160.17 </w:t>
            </w:r>
          </w:p>
        </w:tc>
        <w:tc>
          <w:tcPr>
            <w:tcW w:w="0" w:type="auto"/>
            <w:vAlign w:val="center"/>
          </w:tcPr>
          <w:p w14:paraId="1F9767E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26.14 </w:t>
            </w:r>
          </w:p>
        </w:tc>
        <w:tc>
          <w:tcPr>
            <w:tcW w:w="618" w:type="dxa"/>
            <w:vAlign w:val="center"/>
          </w:tcPr>
          <w:p w14:paraId="4377F7D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3.96 </w:t>
            </w:r>
          </w:p>
        </w:tc>
        <w:tc>
          <w:tcPr>
            <w:tcW w:w="663" w:type="dxa"/>
            <w:vAlign w:val="center"/>
          </w:tcPr>
          <w:p w14:paraId="2F9D0CF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4.67 </w:t>
            </w:r>
          </w:p>
        </w:tc>
        <w:tc>
          <w:tcPr>
            <w:tcW w:w="700" w:type="dxa"/>
            <w:vAlign w:val="center"/>
          </w:tcPr>
          <w:p w14:paraId="751F4AB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lang w:val="en-US" w:eastAsia="zh-CN"/>
              </w:rPr>
            </w:pPr>
            <w:r>
              <w:rPr>
                <w:rFonts w:hint="default" w:ascii="Times New Roman" w:hAnsi="Times New Roman" w:eastAsia="等线" w:cs="Times New Roman"/>
                <w:i w:val="0"/>
                <w:iCs w:val="0"/>
                <w:color w:val="000000"/>
                <w:kern w:val="0"/>
                <w:sz w:val="16"/>
                <w:szCs w:val="16"/>
                <w:u w:val="none"/>
                <w:lang w:val="en-US" w:eastAsia="zh-CN" w:bidi="ar"/>
              </w:rPr>
              <w:t xml:space="preserve">5.78 </w:t>
            </w:r>
          </w:p>
        </w:tc>
        <w:tc>
          <w:tcPr>
            <w:tcW w:w="763" w:type="dxa"/>
            <w:shd w:val="clear" w:color="auto" w:fill="auto"/>
            <w:vAlign w:val="center"/>
          </w:tcPr>
          <w:p w14:paraId="3ED6993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kern w:val="2"/>
                <w:sz w:val="15"/>
                <w:szCs w:val="15"/>
                <w:lang w:val="en-US" w:eastAsia="zh-CN" w:bidi="ar-SA"/>
              </w:rPr>
            </w:pPr>
            <w:r>
              <w:rPr>
                <w:rFonts w:hint="default" w:ascii="Times New Roman" w:hAnsi="Times New Roman" w:eastAsia="等线" w:cs="Times New Roman"/>
                <w:i w:val="0"/>
                <w:iCs w:val="0"/>
                <w:color w:val="000000"/>
                <w:kern w:val="0"/>
                <w:sz w:val="16"/>
                <w:szCs w:val="16"/>
                <w:u w:val="none"/>
                <w:lang w:val="en-US" w:eastAsia="zh-CN" w:bidi="ar"/>
              </w:rPr>
              <w:t xml:space="preserve">7.73 </w:t>
            </w:r>
          </w:p>
        </w:tc>
        <w:tc>
          <w:tcPr>
            <w:tcW w:w="1172" w:type="dxa"/>
            <w:shd w:val="clear" w:color="auto" w:fill="auto"/>
            <w:vAlign w:val="center"/>
          </w:tcPr>
          <w:p w14:paraId="56414181">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6"/>
                <w:szCs w:val="16"/>
                <w:u w:val="none"/>
                <w:lang w:val="en-US" w:eastAsia="zh-CN" w:bidi="ar"/>
              </w:rPr>
            </w:pPr>
            <w:r>
              <w:rPr>
                <w:rFonts w:hint="eastAsia" w:ascii="Times New Roman" w:hAnsi="Times New Roman" w:eastAsia="等线" w:cs="Times New Roman"/>
                <w:i w:val="0"/>
                <w:iCs w:val="0"/>
                <w:color w:val="000000"/>
                <w:kern w:val="0"/>
                <w:sz w:val="16"/>
                <w:szCs w:val="16"/>
                <w:u w:val="none"/>
                <w:lang w:val="en-US" w:eastAsia="zh-CN" w:bidi="ar"/>
              </w:rPr>
              <w:t xml:space="preserve">48.28 </w:t>
            </w:r>
          </w:p>
        </w:tc>
      </w:tr>
      <w:tr w14:paraId="01EA4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vAlign w:val="top"/>
          </w:tcPr>
          <w:p w14:paraId="5C8BBA92">
            <w:pPr>
              <w:keepLines w:val="0"/>
              <w:pageBreakBefore w:val="0"/>
              <w:wordWrap/>
              <w:overflowPunct/>
              <w:topLinePunct w:val="0"/>
              <w:bidi w:val="0"/>
              <w:spacing w:line="360" w:lineRule="auto"/>
              <w:rPr>
                <w:rFonts w:ascii="Times New Roman" w:hAnsi="Times New Roman" w:eastAsia="宋体" w:cs="Times New Roman"/>
                <w:kern w:val="2"/>
                <w:sz w:val="16"/>
                <w:szCs w:val="16"/>
                <w:lang w:val="en-US" w:eastAsia="zh-CN" w:bidi="ar-SA"/>
              </w:rPr>
            </w:pPr>
            <w:r>
              <w:rPr>
                <w:rFonts w:ascii="Times New Roman" w:hAnsi="Times New Roman" w:eastAsia="宋体" w:cs="Times New Roman"/>
                <w:sz w:val="16"/>
                <w:szCs w:val="16"/>
              </w:rPr>
              <w:t>（6）</w:t>
            </w:r>
          </w:p>
        </w:tc>
        <w:tc>
          <w:tcPr>
            <w:tcW w:w="0" w:type="auto"/>
            <w:vAlign w:val="center"/>
          </w:tcPr>
          <w:p w14:paraId="1A63066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308.30 </w:t>
            </w:r>
          </w:p>
        </w:tc>
        <w:tc>
          <w:tcPr>
            <w:tcW w:w="0" w:type="auto"/>
            <w:vAlign w:val="center"/>
          </w:tcPr>
          <w:p w14:paraId="3D891D5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lang w:val="en-US" w:eastAsia="zh-CN"/>
              </w:rPr>
            </w:pPr>
            <w:r>
              <w:rPr>
                <w:rFonts w:hint="default" w:ascii="Times New Roman" w:hAnsi="Times New Roman" w:eastAsia="等线" w:cs="Times New Roman"/>
                <w:i w:val="0"/>
                <w:iCs w:val="0"/>
                <w:color w:val="000000"/>
                <w:kern w:val="0"/>
                <w:sz w:val="16"/>
                <w:szCs w:val="16"/>
                <w:u w:val="none"/>
                <w:lang w:val="en-US" w:eastAsia="zh-CN" w:bidi="ar"/>
              </w:rPr>
              <w:t xml:space="preserve">81.97 </w:t>
            </w:r>
          </w:p>
        </w:tc>
        <w:tc>
          <w:tcPr>
            <w:tcW w:w="0" w:type="auto"/>
            <w:vAlign w:val="center"/>
          </w:tcPr>
          <w:p w14:paraId="1BD9309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241.94 </w:t>
            </w:r>
          </w:p>
        </w:tc>
        <w:tc>
          <w:tcPr>
            <w:tcW w:w="0" w:type="auto"/>
            <w:vAlign w:val="center"/>
          </w:tcPr>
          <w:p w14:paraId="49419B1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185.95 </w:t>
            </w:r>
          </w:p>
        </w:tc>
        <w:tc>
          <w:tcPr>
            <w:tcW w:w="0" w:type="auto"/>
            <w:vAlign w:val="center"/>
          </w:tcPr>
          <w:p w14:paraId="00D0B60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181.85 </w:t>
            </w:r>
          </w:p>
        </w:tc>
        <w:tc>
          <w:tcPr>
            <w:tcW w:w="0" w:type="auto"/>
            <w:vAlign w:val="center"/>
          </w:tcPr>
          <w:p w14:paraId="735BD23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21.58 </w:t>
            </w:r>
          </w:p>
        </w:tc>
        <w:tc>
          <w:tcPr>
            <w:tcW w:w="618" w:type="dxa"/>
            <w:vAlign w:val="center"/>
          </w:tcPr>
          <w:p w14:paraId="3E08365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5.74 </w:t>
            </w:r>
          </w:p>
        </w:tc>
        <w:tc>
          <w:tcPr>
            <w:tcW w:w="663" w:type="dxa"/>
            <w:vAlign w:val="center"/>
          </w:tcPr>
          <w:p w14:paraId="2028325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16.94 </w:t>
            </w:r>
          </w:p>
        </w:tc>
        <w:tc>
          <w:tcPr>
            <w:tcW w:w="700" w:type="dxa"/>
            <w:vAlign w:val="center"/>
          </w:tcPr>
          <w:p w14:paraId="38CC0DB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13.02 </w:t>
            </w:r>
          </w:p>
        </w:tc>
        <w:tc>
          <w:tcPr>
            <w:tcW w:w="763" w:type="dxa"/>
            <w:shd w:val="clear" w:color="auto" w:fill="auto"/>
            <w:vAlign w:val="center"/>
          </w:tcPr>
          <w:p w14:paraId="0CA1978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kern w:val="2"/>
                <w:sz w:val="15"/>
                <w:szCs w:val="15"/>
                <w:lang w:val="en-US" w:eastAsia="zh-CN" w:bidi="ar-SA"/>
              </w:rPr>
            </w:pPr>
            <w:r>
              <w:rPr>
                <w:rFonts w:hint="default" w:ascii="Times New Roman" w:hAnsi="Times New Roman" w:eastAsia="等线" w:cs="Times New Roman"/>
                <w:i w:val="0"/>
                <w:iCs w:val="0"/>
                <w:color w:val="000000"/>
                <w:kern w:val="0"/>
                <w:sz w:val="16"/>
                <w:szCs w:val="16"/>
                <w:u w:val="none"/>
                <w:lang w:val="en-US" w:eastAsia="zh-CN" w:bidi="ar"/>
              </w:rPr>
              <w:t xml:space="preserve">12.73 </w:t>
            </w:r>
          </w:p>
        </w:tc>
        <w:tc>
          <w:tcPr>
            <w:tcW w:w="1172" w:type="dxa"/>
            <w:shd w:val="clear" w:color="auto" w:fill="auto"/>
            <w:vAlign w:val="center"/>
          </w:tcPr>
          <w:p w14:paraId="79A4EBE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等线" w:cs="Times New Roman"/>
                <w:i w:val="0"/>
                <w:iCs w:val="0"/>
                <w:color w:val="000000"/>
                <w:kern w:val="0"/>
                <w:sz w:val="16"/>
                <w:szCs w:val="16"/>
                <w:u w:val="none"/>
                <w:lang w:val="en-US" w:eastAsia="zh-CN" w:bidi="ar"/>
              </w:rPr>
            </w:pPr>
            <w:r>
              <w:rPr>
                <w:rFonts w:hint="eastAsia" w:ascii="Times New Roman" w:hAnsi="Times New Roman" w:eastAsia="等线" w:cs="Times New Roman"/>
                <w:i w:val="0"/>
                <w:iCs w:val="0"/>
                <w:color w:val="000000"/>
                <w:kern w:val="0"/>
                <w:sz w:val="16"/>
                <w:szCs w:val="16"/>
                <w:u w:val="none"/>
                <w:lang w:val="en-US" w:eastAsia="zh-CN" w:bidi="ar"/>
              </w:rPr>
              <w:t xml:space="preserve">70.00 </w:t>
            </w:r>
          </w:p>
        </w:tc>
      </w:tr>
      <w:tr w14:paraId="69AD0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vAlign w:val="top"/>
          </w:tcPr>
          <w:p w14:paraId="02EECCC2">
            <w:pPr>
              <w:keepLines w:val="0"/>
              <w:pageBreakBefore w:val="0"/>
              <w:wordWrap/>
              <w:overflowPunct/>
              <w:topLinePunct w:val="0"/>
              <w:bidi w:val="0"/>
              <w:spacing w:line="360" w:lineRule="auto"/>
              <w:rPr>
                <w:rFonts w:ascii="Times New Roman" w:hAnsi="Times New Roman" w:eastAsia="宋体" w:cs="Times New Roman"/>
                <w:kern w:val="2"/>
                <w:sz w:val="16"/>
                <w:szCs w:val="16"/>
                <w:lang w:val="en-US" w:eastAsia="zh-CN" w:bidi="ar-SA"/>
              </w:rPr>
            </w:pPr>
            <w:r>
              <w:rPr>
                <w:rFonts w:hint="eastAsia" w:ascii="Times New Roman" w:hAnsi="Times New Roman" w:eastAsia="宋体" w:cs="Times New Roman"/>
                <w:sz w:val="16"/>
                <w:szCs w:val="16"/>
              </w:rPr>
              <w:t>（7）</w:t>
            </w:r>
          </w:p>
        </w:tc>
        <w:tc>
          <w:tcPr>
            <w:tcW w:w="0" w:type="auto"/>
            <w:vAlign w:val="center"/>
          </w:tcPr>
          <w:p w14:paraId="3A0422D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469.30 </w:t>
            </w:r>
          </w:p>
        </w:tc>
        <w:tc>
          <w:tcPr>
            <w:tcW w:w="0" w:type="auto"/>
            <w:vAlign w:val="center"/>
          </w:tcPr>
          <w:p w14:paraId="6E5011A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163.93 </w:t>
            </w:r>
          </w:p>
        </w:tc>
        <w:tc>
          <w:tcPr>
            <w:tcW w:w="0" w:type="auto"/>
            <w:vAlign w:val="center"/>
          </w:tcPr>
          <w:p w14:paraId="2AB425C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193.55 </w:t>
            </w:r>
          </w:p>
        </w:tc>
        <w:tc>
          <w:tcPr>
            <w:tcW w:w="0" w:type="auto"/>
            <w:vAlign w:val="center"/>
          </w:tcPr>
          <w:p w14:paraId="488FA53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17.11 </w:t>
            </w:r>
          </w:p>
        </w:tc>
        <w:tc>
          <w:tcPr>
            <w:tcW w:w="0" w:type="auto"/>
            <w:vAlign w:val="center"/>
          </w:tcPr>
          <w:p w14:paraId="1EAC3F4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156.10 </w:t>
            </w:r>
          </w:p>
        </w:tc>
        <w:tc>
          <w:tcPr>
            <w:tcW w:w="0" w:type="auto"/>
            <w:vAlign w:val="center"/>
          </w:tcPr>
          <w:p w14:paraId="2A39322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27.38 </w:t>
            </w:r>
          </w:p>
        </w:tc>
        <w:tc>
          <w:tcPr>
            <w:tcW w:w="618" w:type="dxa"/>
            <w:vAlign w:val="center"/>
          </w:tcPr>
          <w:p w14:paraId="0C0009C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9.56 </w:t>
            </w:r>
          </w:p>
        </w:tc>
        <w:tc>
          <w:tcPr>
            <w:tcW w:w="663" w:type="dxa"/>
            <w:vAlign w:val="center"/>
          </w:tcPr>
          <w:p w14:paraId="4931137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11.29 </w:t>
            </w:r>
          </w:p>
        </w:tc>
        <w:tc>
          <w:tcPr>
            <w:tcW w:w="700" w:type="dxa"/>
            <w:vAlign w:val="center"/>
          </w:tcPr>
          <w:p w14:paraId="6D9C721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1.00 </w:t>
            </w:r>
          </w:p>
        </w:tc>
        <w:tc>
          <w:tcPr>
            <w:tcW w:w="763" w:type="dxa"/>
            <w:shd w:val="clear" w:color="auto" w:fill="auto"/>
            <w:vAlign w:val="center"/>
          </w:tcPr>
          <w:p w14:paraId="1E82D47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kern w:val="2"/>
                <w:sz w:val="15"/>
                <w:szCs w:val="15"/>
                <w:lang w:val="en-US" w:eastAsia="zh-CN" w:bidi="ar-SA"/>
              </w:rPr>
            </w:pPr>
            <w:r>
              <w:rPr>
                <w:rFonts w:hint="default" w:ascii="Times New Roman" w:hAnsi="Times New Roman" w:eastAsia="等线" w:cs="Times New Roman"/>
                <w:i w:val="0"/>
                <w:iCs w:val="0"/>
                <w:color w:val="000000"/>
                <w:kern w:val="0"/>
                <w:sz w:val="16"/>
                <w:szCs w:val="16"/>
                <w:u w:val="none"/>
                <w:lang w:val="en-US" w:eastAsia="zh-CN" w:bidi="ar"/>
              </w:rPr>
              <w:t xml:space="preserve">9.11 </w:t>
            </w:r>
          </w:p>
        </w:tc>
        <w:tc>
          <w:tcPr>
            <w:tcW w:w="1172" w:type="dxa"/>
            <w:shd w:val="clear" w:color="auto" w:fill="auto"/>
            <w:vAlign w:val="center"/>
          </w:tcPr>
          <w:p w14:paraId="044DEBB3">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6"/>
                <w:szCs w:val="16"/>
                <w:u w:val="none"/>
                <w:lang w:val="en-US" w:eastAsia="zh-CN" w:bidi="ar"/>
              </w:rPr>
            </w:pPr>
            <w:r>
              <w:rPr>
                <w:rFonts w:hint="eastAsia" w:ascii="Times New Roman" w:hAnsi="Times New Roman" w:eastAsia="等线" w:cs="Times New Roman"/>
                <w:i w:val="0"/>
                <w:iCs w:val="0"/>
                <w:color w:val="000000"/>
                <w:kern w:val="0"/>
                <w:sz w:val="16"/>
                <w:szCs w:val="16"/>
                <w:u w:val="none"/>
                <w:lang w:val="en-US" w:eastAsia="zh-CN" w:bidi="ar"/>
              </w:rPr>
              <w:t xml:space="preserve">58.33 </w:t>
            </w:r>
          </w:p>
        </w:tc>
      </w:tr>
      <w:tr w14:paraId="3D4E7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vAlign w:val="top"/>
          </w:tcPr>
          <w:p w14:paraId="4C7DD621">
            <w:pPr>
              <w:keepLines w:val="0"/>
              <w:pageBreakBefore w:val="0"/>
              <w:wordWrap/>
              <w:overflowPunct/>
              <w:topLinePunct w:val="0"/>
              <w:bidi w:val="0"/>
              <w:spacing w:line="360" w:lineRule="auto"/>
              <w:rPr>
                <w:rFonts w:ascii="Times New Roman" w:hAnsi="Times New Roman" w:eastAsia="宋体" w:cs="Times New Roman"/>
                <w:kern w:val="2"/>
                <w:sz w:val="16"/>
                <w:szCs w:val="16"/>
                <w:lang w:val="en-US" w:eastAsia="zh-CN" w:bidi="ar-SA"/>
              </w:rPr>
            </w:pPr>
            <w:r>
              <w:rPr>
                <w:rFonts w:hint="eastAsia" w:ascii="Times New Roman" w:hAnsi="Times New Roman" w:eastAsia="宋体" w:cs="Times New Roman"/>
                <w:sz w:val="16"/>
                <w:szCs w:val="16"/>
              </w:rPr>
              <w:t>（8）</w:t>
            </w:r>
          </w:p>
        </w:tc>
        <w:tc>
          <w:tcPr>
            <w:tcW w:w="0" w:type="auto"/>
            <w:vAlign w:val="center"/>
          </w:tcPr>
          <w:p w14:paraId="49EFD57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491.20 </w:t>
            </w:r>
          </w:p>
        </w:tc>
        <w:tc>
          <w:tcPr>
            <w:tcW w:w="0" w:type="auto"/>
            <w:vAlign w:val="center"/>
          </w:tcPr>
          <w:p w14:paraId="1F23E77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163.93 </w:t>
            </w:r>
          </w:p>
        </w:tc>
        <w:tc>
          <w:tcPr>
            <w:tcW w:w="0" w:type="auto"/>
            <w:vAlign w:val="center"/>
          </w:tcPr>
          <w:p w14:paraId="73747AC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193.55 </w:t>
            </w:r>
          </w:p>
        </w:tc>
        <w:tc>
          <w:tcPr>
            <w:tcW w:w="0" w:type="auto"/>
            <w:vAlign w:val="center"/>
          </w:tcPr>
          <w:p w14:paraId="3AD189A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55.29 </w:t>
            </w:r>
          </w:p>
        </w:tc>
        <w:tc>
          <w:tcPr>
            <w:tcW w:w="0" w:type="auto"/>
            <w:vAlign w:val="center"/>
          </w:tcPr>
          <w:p w14:paraId="02169A9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96.03 </w:t>
            </w:r>
          </w:p>
        </w:tc>
        <w:tc>
          <w:tcPr>
            <w:tcW w:w="0" w:type="auto"/>
            <w:vAlign w:val="center"/>
          </w:tcPr>
          <w:p w14:paraId="7B91EEA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26.45 </w:t>
            </w:r>
          </w:p>
        </w:tc>
        <w:tc>
          <w:tcPr>
            <w:tcW w:w="618" w:type="dxa"/>
            <w:vAlign w:val="center"/>
          </w:tcPr>
          <w:p w14:paraId="6BF6ADA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8.83 </w:t>
            </w:r>
          </w:p>
        </w:tc>
        <w:tc>
          <w:tcPr>
            <w:tcW w:w="663" w:type="dxa"/>
            <w:vAlign w:val="center"/>
          </w:tcPr>
          <w:p w14:paraId="62B810D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10.42 </w:t>
            </w:r>
          </w:p>
        </w:tc>
        <w:tc>
          <w:tcPr>
            <w:tcW w:w="700" w:type="dxa"/>
            <w:vAlign w:val="center"/>
          </w:tcPr>
          <w:p w14:paraId="07CB67E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2.98 </w:t>
            </w:r>
          </w:p>
        </w:tc>
        <w:tc>
          <w:tcPr>
            <w:tcW w:w="763" w:type="dxa"/>
            <w:shd w:val="clear" w:color="auto" w:fill="auto"/>
            <w:vAlign w:val="center"/>
          </w:tcPr>
          <w:p w14:paraId="3791A53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5.17 </w:t>
            </w:r>
          </w:p>
        </w:tc>
        <w:tc>
          <w:tcPr>
            <w:tcW w:w="1172" w:type="dxa"/>
            <w:shd w:val="clear" w:color="auto" w:fill="auto"/>
            <w:vAlign w:val="center"/>
          </w:tcPr>
          <w:p w14:paraId="2AE72D9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等线" w:cs="Times New Roman"/>
                <w:i w:val="0"/>
                <w:iCs w:val="0"/>
                <w:color w:val="000000"/>
                <w:kern w:val="0"/>
                <w:sz w:val="16"/>
                <w:szCs w:val="16"/>
                <w:u w:val="none"/>
                <w:lang w:val="en-US" w:eastAsia="zh-CN" w:bidi="ar"/>
              </w:rPr>
            </w:pPr>
            <w:r>
              <w:rPr>
                <w:rFonts w:hint="eastAsia" w:ascii="Times New Roman" w:hAnsi="Times New Roman" w:eastAsia="等线" w:cs="Times New Roman"/>
                <w:i w:val="0"/>
                <w:iCs w:val="0"/>
                <w:color w:val="000000"/>
                <w:kern w:val="0"/>
                <w:sz w:val="16"/>
                <w:szCs w:val="16"/>
                <w:u w:val="none"/>
                <w:lang w:val="en-US" w:eastAsia="zh-CN" w:bidi="ar"/>
              </w:rPr>
              <w:t xml:space="preserve">53.85 </w:t>
            </w:r>
          </w:p>
        </w:tc>
      </w:tr>
      <w:tr w14:paraId="2525B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2674BA9">
            <w:pPr>
              <w:keepLines w:val="0"/>
              <w:pageBreakBefore w:val="0"/>
              <w:wordWrap/>
              <w:overflowPunct/>
              <w:topLinePunct w:val="0"/>
              <w:bidi w:val="0"/>
              <w:spacing w:line="360" w:lineRule="auto"/>
              <w:rPr>
                <w:rFonts w:ascii="Times New Roman" w:hAnsi="Times New Roman" w:eastAsia="宋体" w:cs="Times New Roman"/>
                <w:sz w:val="16"/>
                <w:szCs w:val="16"/>
              </w:rPr>
            </w:pPr>
            <w:r>
              <w:rPr>
                <w:rFonts w:ascii="Times New Roman" w:hAnsi="Times New Roman" w:eastAsia="宋体" w:cs="Times New Roman"/>
                <w:sz w:val="16"/>
                <w:szCs w:val="16"/>
              </w:rPr>
              <w:t>（</w:t>
            </w:r>
            <w:r>
              <w:rPr>
                <w:rFonts w:hint="eastAsia" w:ascii="Times New Roman" w:hAnsi="Times New Roman" w:eastAsia="宋体" w:cs="Times New Roman"/>
                <w:sz w:val="16"/>
                <w:szCs w:val="16"/>
                <w:lang w:val="en-US" w:eastAsia="zh-CN"/>
              </w:rPr>
              <w:t>9</w:t>
            </w:r>
            <w:r>
              <w:rPr>
                <w:rFonts w:ascii="Times New Roman" w:hAnsi="Times New Roman" w:eastAsia="宋体" w:cs="Times New Roman"/>
                <w:sz w:val="16"/>
                <w:szCs w:val="16"/>
              </w:rPr>
              <w:t>）</w:t>
            </w:r>
          </w:p>
        </w:tc>
        <w:tc>
          <w:tcPr>
            <w:tcW w:w="0" w:type="auto"/>
            <w:vAlign w:val="center"/>
          </w:tcPr>
          <w:p w14:paraId="780A864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229.90 </w:t>
            </w:r>
          </w:p>
        </w:tc>
        <w:tc>
          <w:tcPr>
            <w:tcW w:w="0" w:type="auto"/>
            <w:vAlign w:val="center"/>
          </w:tcPr>
          <w:p w14:paraId="417A6A4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311.48 </w:t>
            </w:r>
          </w:p>
        </w:tc>
        <w:tc>
          <w:tcPr>
            <w:tcW w:w="0" w:type="auto"/>
            <w:vAlign w:val="center"/>
          </w:tcPr>
          <w:p w14:paraId="7FA6422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258.06 </w:t>
            </w:r>
          </w:p>
        </w:tc>
        <w:tc>
          <w:tcPr>
            <w:tcW w:w="0" w:type="auto"/>
            <w:vAlign w:val="center"/>
          </w:tcPr>
          <w:p w14:paraId="36639F4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295.65 </w:t>
            </w:r>
          </w:p>
        </w:tc>
        <w:tc>
          <w:tcPr>
            <w:tcW w:w="0" w:type="auto"/>
            <w:vAlign w:val="center"/>
          </w:tcPr>
          <w:p w14:paraId="12A6492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-95.09 </w:t>
            </w:r>
          </w:p>
        </w:tc>
        <w:tc>
          <w:tcPr>
            <w:tcW w:w="0" w:type="auto"/>
            <w:vAlign w:val="center"/>
          </w:tcPr>
          <w:p w14:paraId="3546C17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14.63 </w:t>
            </w:r>
          </w:p>
        </w:tc>
        <w:tc>
          <w:tcPr>
            <w:tcW w:w="618" w:type="dxa"/>
            <w:vAlign w:val="center"/>
          </w:tcPr>
          <w:p w14:paraId="5C4238D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19.82 </w:t>
            </w:r>
          </w:p>
        </w:tc>
        <w:tc>
          <w:tcPr>
            <w:tcW w:w="663" w:type="dxa"/>
            <w:vAlign w:val="center"/>
          </w:tcPr>
          <w:p w14:paraId="4CCB6BB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16.42 </w:t>
            </w:r>
          </w:p>
        </w:tc>
        <w:tc>
          <w:tcPr>
            <w:tcW w:w="700" w:type="dxa"/>
            <w:vAlign w:val="center"/>
          </w:tcPr>
          <w:p w14:paraId="36B03A2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18.81 </w:t>
            </w:r>
          </w:p>
        </w:tc>
        <w:tc>
          <w:tcPr>
            <w:tcW w:w="763" w:type="dxa"/>
            <w:shd w:val="clear" w:color="auto" w:fill="auto"/>
            <w:vAlign w:val="center"/>
          </w:tcPr>
          <w:p w14:paraId="0A3F120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kern w:val="2"/>
                <w:sz w:val="15"/>
                <w:szCs w:val="15"/>
                <w:lang w:val="en-US" w:eastAsia="zh-CN" w:bidi="ar-SA"/>
              </w:rPr>
            </w:pPr>
            <w:r>
              <w:rPr>
                <w:rFonts w:hint="default" w:ascii="Times New Roman" w:hAnsi="Times New Roman" w:eastAsia="等线" w:cs="Times New Roman"/>
                <w:i w:val="0"/>
                <w:iCs w:val="0"/>
                <w:color w:val="000000"/>
                <w:kern w:val="0"/>
                <w:sz w:val="16"/>
                <w:szCs w:val="16"/>
                <w:u w:val="none"/>
                <w:lang w:val="en-US" w:eastAsia="zh-CN" w:bidi="ar"/>
              </w:rPr>
              <w:t xml:space="preserve">6.05 </w:t>
            </w:r>
          </w:p>
        </w:tc>
        <w:tc>
          <w:tcPr>
            <w:tcW w:w="1172" w:type="dxa"/>
            <w:shd w:val="clear" w:color="auto" w:fill="auto"/>
            <w:vAlign w:val="center"/>
          </w:tcPr>
          <w:p w14:paraId="345663BE">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6"/>
                <w:szCs w:val="16"/>
                <w:u w:val="none"/>
                <w:lang w:val="en-US" w:eastAsia="zh-CN" w:bidi="ar"/>
              </w:rPr>
            </w:pPr>
            <w:r>
              <w:rPr>
                <w:rFonts w:hint="eastAsia" w:ascii="Times New Roman" w:hAnsi="Times New Roman" w:eastAsia="等线" w:cs="Times New Roman"/>
                <w:i w:val="0"/>
                <w:iCs w:val="0"/>
                <w:color w:val="000000"/>
                <w:kern w:val="0"/>
                <w:sz w:val="16"/>
                <w:szCs w:val="16"/>
                <w:u w:val="none"/>
                <w:lang w:val="en-US" w:eastAsia="zh-CN" w:bidi="ar"/>
              </w:rPr>
              <w:t xml:space="preserve">63.64 </w:t>
            </w:r>
          </w:p>
        </w:tc>
      </w:tr>
      <w:tr w14:paraId="29C20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098735B">
            <w:pPr>
              <w:keepLines w:val="0"/>
              <w:pageBreakBefore w:val="0"/>
              <w:wordWrap/>
              <w:overflowPunct/>
              <w:topLinePunct w:val="0"/>
              <w:bidi w:val="0"/>
              <w:spacing w:line="360" w:lineRule="auto"/>
              <w:rPr>
                <w:rFonts w:ascii="Times New Roman" w:hAnsi="Times New Roman" w:eastAsia="宋体" w:cs="Times New Roman"/>
                <w:sz w:val="16"/>
                <w:szCs w:val="16"/>
              </w:rPr>
            </w:pPr>
            <w:r>
              <w:rPr>
                <w:rFonts w:ascii="Times New Roman" w:hAnsi="Times New Roman" w:eastAsia="宋体" w:cs="Times New Roman"/>
                <w:sz w:val="16"/>
                <w:szCs w:val="16"/>
              </w:rPr>
              <w:t>（</w:t>
            </w:r>
            <w:r>
              <w:rPr>
                <w:rFonts w:hint="eastAsia" w:ascii="Times New Roman" w:hAnsi="Times New Roman" w:eastAsia="宋体" w:cs="Times New Roman"/>
                <w:sz w:val="16"/>
                <w:szCs w:val="16"/>
                <w:lang w:val="en-US" w:eastAsia="zh-CN"/>
              </w:rPr>
              <w:t>10</w:t>
            </w:r>
            <w:r>
              <w:rPr>
                <w:rFonts w:ascii="Times New Roman" w:hAnsi="Times New Roman" w:eastAsia="宋体" w:cs="Times New Roman"/>
                <w:sz w:val="16"/>
                <w:szCs w:val="16"/>
              </w:rPr>
              <w:t>）</w:t>
            </w:r>
          </w:p>
        </w:tc>
        <w:tc>
          <w:tcPr>
            <w:tcW w:w="0" w:type="auto"/>
            <w:vAlign w:val="center"/>
          </w:tcPr>
          <w:p w14:paraId="3103CE8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516.70 </w:t>
            </w:r>
          </w:p>
        </w:tc>
        <w:tc>
          <w:tcPr>
            <w:tcW w:w="0" w:type="auto"/>
            <w:vAlign w:val="center"/>
          </w:tcPr>
          <w:p w14:paraId="6C2B02D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163.93 </w:t>
            </w:r>
          </w:p>
        </w:tc>
        <w:tc>
          <w:tcPr>
            <w:tcW w:w="0" w:type="auto"/>
            <w:vAlign w:val="center"/>
          </w:tcPr>
          <w:p w14:paraId="026EA6D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177.42 </w:t>
            </w:r>
          </w:p>
        </w:tc>
        <w:tc>
          <w:tcPr>
            <w:tcW w:w="0" w:type="auto"/>
            <w:vAlign w:val="center"/>
          </w:tcPr>
          <w:p w14:paraId="133B105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48.64 </w:t>
            </w:r>
          </w:p>
        </w:tc>
        <w:tc>
          <w:tcPr>
            <w:tcW w:w="0" w:type="auto"/>
            <w:vAlign w:val="center"/>
          </w:tcPr>
          <w:p w14:paraId="0851BA8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93.31 </w:t>
            </w:r>
          </w:p>
        </w:tc>
        <w:tc>
          <w:tcPr>
            <w:tcW w:w="0" w:type="auto"/>
            <w:vAlign w:val="center"/>
          </w:tcPr>
          <w:p w14:paraId="00B7868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26.79 </w:t>
            </w:r>
          </w:p>
        </w:tc>
        <w:tc>
          <w:tcPr>
            <w:tcW w:w="618" w:type="dxa"/>
            <w:vAlign w:val="center"/>
          </w:tcPr>
          <w:p w14:paraId="643FB82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8.50 </w:t>
            </w:r>
          </w:p>
        </w:tc>
        <w:tc>
          <w:tcPr>
            <w:tcW w:w="663" w:type="dxa"/>
            <w:vAlign w:val="center"/>
          </w:tcPr>
          <w:p w14:paraId="67F517C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9.20 </w:t>
            </w:r>
          </w:p>
        </w:tc>
        <w:tc>
          <w:tcPr>
            <w:tcW w:w="700" w:type="dxa"/>
            <w:vAlign w:val="center"/>
          </w:tcPr>
          <w:p w14:paraId="25DC959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2.52 </w:t>
            </w:r>
          </w:p>
        </w:tc>
        <w:tc>
          <w:tcPr>
            <w:tcW w:w="763" w:type="dxa"/>
            <w:shd w:val="clear" w:color="auto" w:fill="auto"/>
            <w:vAlign w:val="center"/>
          </w:tcPr>
          <w:p w14:paraId="0E58EBF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4.84 </w:t>
            </w:r>
          </w:p>
        </w:tc>
        <w:tc>
          <w:tcPr>
            <w:tcW w:w="1172" w:type="dxa"/>
            <w:shd w:val="clear" w:color="auto" w:fill="auto"/>
            <w:vAlign w:val="center"/>
          </w:tcPr>
          <w:p w14:paraId="232D1C2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等线" w:cs="Times New Roman"/>
                <w:i w:val="0"/>
                <w:iCs w:val="0"/>
                <w:color w:val="000000"/>
                <w:kern w:val="0"/>
                <w:sz w:val="16"/>
                <w:szCs w:val="16"/>
                <w:u w:val="none"/>
                <w:lang w:val="en-US" w:eastAsia="zh-CN" w:bidi="ar"/>
              </w:rPr>
            </w:pPr>
            <w:r>
              <w:rPr>
                <w:rFonts w:hint="eastAsia" w:ascii="Times New Roman" w:hAnsi="Times New Roman" w:eastAsia="等线" w:cs="Times New Roman"/>
                <w:i w:val="0"/>
                <w:iCs w:val="0"/>
                <w:color w:val="000000"/>
                <w:kern w:val="0"/>
                <w:sz w:val="16"/>
                <w:szCs w:val="16"/>
                <w:u w:val="none"/>
                <w:lang w:val="en-US" w:eastAsia="zh-CN" w:bidi="ar"/>
              </w:rPr>
              <w:t xml:space="preserve">51.85 </w:t>
            </w:r>
          </w:p>
        </w:tc>
      </w:tr>
      <w:tr w14:paraId="0378B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1D507FC">
            <w:pPr>
              <w:keepLines w:val="0"/>
              <w:pageBreakBefore w:val="0"/>
              <w:wordWrap/>
              <w:overflowPunct/>
              <w:topLinePunct w:val="0"/>
              <w:bidi w:val="0"/>
              <w:spacing w:line="360" w:lineRule="auto"/>
              <w:rPr>
                <w:rFonts w:ascii="Times New Roman" w:hAnsi="Times New Roman" w:eastAsia="宋体" w:cs="Times New Roman"/>
                <w:sz w:val="16"/>
                <w:szCs w:val="16"/>
              </w:rPr>
            </w:pPr>
            <w:r>
              <w:rPr>
                <w:rFonts w:hint="eastAsia" w:ascii="Times New Roman" w:hAnsi="Times New Roman" w:eastAsia="宋体" w:cs="Times New Roman"/>
                <w:sz w:val="16"/>
                <w:szCs w:val="16"/>
              </w:rPr>
              <w:t>（</w:t>
            </w:r>
            <w:r>
              <w:rPr>
                <w:rFonts w:hint="eastAsia" w:ascii="Times New Roman" w:hAnsi="Times New Roman" w:eastAsia="宋体" w:cs="Times New Roman"/>
                <w:sz w:val="16"/>
                <w:szCs w:val="16"/>
                <w:lang w:val="en-US" w:eastAsia="zh-CN"/>
              </w:rPr>
              <w:t>11</w:t>
            </w:r>
            <w:r>
              <w:rPr>
                <w:rFonts w:hint="eastAsia" w:ascii="Times New Roman" w:hAnsi="Times New Roman" w:eastAsia="宋体" w:cs="Times New Roman"/>
                <w:sz w:val="16"/>
                <w:szCs w:val="16"/>
              </w:rPr>
              <w:t>）</w:t>
            </w:r>
          </w:p>
        </w:tc>
        <w:tc>
          <w:tcPr>
            <w:tcW w:w="0" w:type="auto"/>
            <w:vAlign w:val="center"/>
          </w:tcPr>
          <w:p w14:paraId="1782B44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480.30 </w:t>
            </w:r>
          </w:p>
        </w:tc>
        <w:tc>
          <w:tcPr>
            <w:tcW w:w="0" w:type="auto"/>
            <w:vAlign w:val="center"/>
          </w:tcPr>
          <w:p w14:paraId="7ACFEA4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163.93 </w:t>
            </w:r>
          </w:p>
        </w:tc>
        <w:tc>
          <w:tcPr>
            <w:tcW w:w="0" w:type="auto"/>
            <w:vAlign w:val="center"/>
          </w:tcPr>
          <w:p w14:paraId="6BF2257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193.55 </w:t>
            </w:r>
          </w:p>
        </w:tc>
        <w:tc>
          <w:tcPr>
            <w:tcW w:w="0" w:type="auto"/>
            <w:vAlign w:val="center"/>
          </w:tcPr>
          <w:p w14:paraId="70A8F68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74.58 </w:t>
            </w:r>
          </w:p>
        </w:tc>
        <w:tc>
          <w:tcPr>
            <w:tcW w:w="0" w:type="auto"/>
            <w:vAlign w:val="center"/>
          </w:tcPr>
          <w:p w14:paraId="1308368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87.64 </w:t>
            </w:r>
          </w:p>
        </w:tc>
        <w:tc>
          <w:tcPr>
            <w:tcW w:w="0" w:type="auto"/>
            <w:vAlign w:val="center"/>
          </w:tcPr>
          <w:p w14:paraId="26254F6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25.86 </w:t>
            </w:r>
          </w:p>
        </w:tc>
        <w:tc>
          <w:tcPr>
            <w:tcW w:w="618" w:type="dxa"/>
            <w:vAlign w:val="center"/>
          </w:tcPr>
          <w:p w14:paraId="319B2D1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8.83 </w:t>
            </w:r>
          </w:p>
        </w:tc>
        <w:tc>
          <w:tcPr>
            <w:tcW w:w="663" w:type="dxa"/>
            <w:vAlign w:val="center"/>
          </w:tcPr>
          <w:p w14:paraId="5C4333B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10.42 </w:t>
            </w:r>
          </w:p>
        </w:tc>
        <w:tc>
          <w:tcPr>
            <w:tcW w:w="700" w:type="dxa"/>
            <w:vAlign w:val="center"/>
          </w:tcPr>
          <w:p w14:paraId="47FF5DE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4.02 </w:t>
            </w:r>
          </w:p>
        </w:tc>
        <w:tc>
          <w:tcPr>
            <w:tcW w:w="763" w:type="dxa"/>
            <w:shd w:val="clear" w:color="auto" w:fill="auto"/>
            <w:vAlign w:val="center"/>
          </w:tcPr>
          <w:p w14:paraId="1BC6CDE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kern w:val="2"/>
                <w:sz w:val="15"/>
                <w:szCs w:val="15"/>
                <w:lang w:val="en-US" w:eastAsia="zh-CN" w:bidi="ar-SA"/>
              </w:rPr>
            </w:pPr>
            <w:r>
              <w:rPr>
                <w:rFonts w:hint="default" w:ascii="Times New Roman" w:hAnsi="Times New Roman" w:eastAsia="等线" w:cs="Times New Roman"/>
                <w:i w:val="0"/>
                <w:iCs w:val="0"/>
                <w:color w:val="000000"/>
                <w:kern w:val="0"/>
                <w:sz w:val="16"/>
                <w:szCs w:val="16"/>
                <w:u w:val="none"/>
                <w:lang w:val="en-US" w:eastAsia="zh-CN" w:bidi="ar"/>
              </w:rPr>
              <w:t xml:space="preserve">4.72 </w:t>
            </w:r>
          </w:p>
        </w:tc>
        <w:tc>
          <w:tcPr>
            <w:tcW w:w="1172" w:type="dxa"/>
            <w:shd w:val="clear" w:color="auto" w:fill="auto"/>
            <w:vAlign w:val="center"/>
          </w:tcPr>
          <w:p w14:paraId="6B93020F">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6"/>
                <w:szCs w:val="16"/>
                <w:u w:val="none"/>
                <w:lang w:val="en-US" w:eastAsia="zh-CN" w:bidi="ar"/>
              </w:rPr>
            </w:pPr>
            <w:r>
              <w:rPr>
                <w:rFonts w:hint="eastAsia" w:ascii="Times New Roman" w:hAnsi="Times New Roman" w:eastAsia="等线" w:cs="Times New Roman"/>
                <w:i w:val="0"/>
                <w:iCs w:val="0"/>
                <w:color w:val="000000"/>
                <w:kern w:val="0"/>
                <w:sz w:val="16"/>
                <w:szCs w:val="16"/>
                <w:u w:val="none"/>
                <w:lang w:val="en-US" w:eastAsia="zh-CN" w:bidi="ar"/>
              </w:rPr>
              <w:t xml:space="preserve">53.85 </w:t>
            </w:r>
          </w:p>
        </w:tc>
      </w:tr>
      <w:tr w14:paraId="57340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057E4E6">
            <w:pPr>
              <w:keepLines w:val="0"/>
              <w:pageBreakBefore w:val="0"/>
              <w:wordWrap/>
              <w:overflowPunct/>
              <w:topLinePunct w:val="0"/>
              <w:bidi w:val="0"/>
              <w:spacing w:line="360" w:lineRule="auto"/>
              <w:rPr>
                <w:rFonts w:ascii="Times New Roman" w:hAnsi="Times New Roman" w:eastAsia="宋体" w:cs="Times New Roman"/>
                <w:sz w:val="16"/>
                <w:szCs w:val="16"/>
              </w:rPr>
            </w:pPr>
            <w:r>
              <w:rPr>
                <w:rFonts w:hint="eastAsia" w:ascii="Times New Roman" w:hAnsi="Times New Roman" w:eastAsia="宋体" w:cs="Times New Roman"/>
                <w:sz w:val="16"/>
                <w:szCs w:val="16"/>
              </w:rPr>
              <w:t>（</w:t>
            </w:r>
            <w:r>
              <w:rPr>
                <w:rFonts w:hint="eastAsia" w:ascii="Times New Roman" w:hAnsi="Times New Roman" w:eastAsia="宋体" w:cs="Times New Roman"/>
                <w:sz w:val="16"/>
                <w:szCs w:val="16"/>
                <w:lang w:val="en-US" w:eastAsia="zh-CN"/>
              </w:rPr>
              <w:t>12</w:t>
            </w:r>
            <w:r>
              <w:rPr>
                <w:rFonts w:hint="eastAsia" w:ascii="Times New Roman" w:hAnsi="Times New Roman" w:eastAsia="宋体" w:cs="Times New Roman"/>
                <w:sz w:val="16"/>
                <w:szCs w:val="16"/>
              </w:rPr>
              <w:t>）</w:t>
            </w:r>
          </w:p>
        </w:tc>
        <w:tc>
          <w:tcPr>
            <w:tcW w:w="0" w:type="auto"/>
            <w:vAlign w:val="center"/>
          </w:tcPr>
          <w:p w14:paraId="30C5237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429.20 </w:t>
            </w:r>
          </w:p>
        </w:tc>
        <w:tc>
          <w:tcPr>
            <w:tcW w:w="0" w:type="auto"/>
            <w:vAlign w:val="center"/>
          </w:tcPr>
          <w:p w14:paraId="7310E26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147.54 </w:t>
            </w:r>
          </w:p>
        </w:tc>
        <w:tc>
          <w:tcPr>
            <w:tcW w:w="0" w:type="auto"/>
            <w:vAlign w:val="center"/>
          </w:tcPr>
          <w:p w14:paraId="5D5B544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96.77 </w:t>
            </w:r>
          </w:p>
        </w:tc>
        <w:tc>
          <w:tcPr>
            <w:tcW w:w="0" w:type="auto"/>
            <w:vAlign w:val="center"/>
          </w:tcPr>
          <w:p w14:paraId="423ABCA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172.55 </w:t>
            </w:r>
          </w:p>
        </w:tc>
        <w:tc>
          <w:tcPr>
            <w:tcW w:w="0" w:type="auto"/>
            <w:vAlign w:val="center"/>
          </w:tcPr>
          <w:p w14:paraId="32C807F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153.93 </w:t>
            </w:r>
          </w:p>
        </w:tc>
        <w:tc>
          <w:tcPr>
            <w:tcW w:w="0" w:type="auto"/>
            <w:vAlign w:val="center"/>
          </w:tcPr>
          <w:p w14:paraId="326B160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23.11 </w:t>
            </w:r>
          </w:p>
        </w:tc>
        <w:tc>
          <w:tcPr>
            <w:tcW w:w="618" w:type="dxa"/>
            <w:vAlign w:val="center"/>
          </w:tcPr>
          <w:p w14:paraId="34FEAEE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7.94 </w:t>
            </w:r>
          </w:p>
        </w:tc>
        <w:tc>
          <w:tcPr>
            <w:tcW w:w="663" w:type="dxa"/>
            <w:vAlign w:val="center"/>
          </w:tcPr>
          <w:p w14:paraId="6E87273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5.21 </w:t>
            </w:r>
          </w:p>
        </w:tc>
        <w:tc>
          <w:tcPr>
            <w:tcW w:w="700" w:type="dxa"/>
            <w:vAlign w:val="center"/>
          </w:tcPr>
          <w:p w14:paraId="5C12F6B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9.29 </w:t>
            </w:r>
          </w:p>
        </w:tc>
        <w:tc>
          <w:tcPr>
            <w:tcW w:w="763" w:type="dxa"/>
            <w:shd w:val="clear" w:color="auto" w:fill="auto"/>
            <w:vAlign w:val="center"/>
          </w:tcPr>
          <w:p w14:paraId="7B06E1D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8.29 </w:t>
            </w:r>
          </w:p>
        </w:tc>
        <w:tc>
          <w:tcPr>
            <w:tcW w:w="1172" w:type="dxa"/>
            <w:shd w:val="clear" w:color="auto" w:fill="auto"/>
            <w:vAlign w:val="center"/>
          </w:tcPr>
          <w:p w14:paraId="711A073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等线" w:cs="Times New Roman"/>
                <w:i w:val="0"/>
                <w:iCs w:val="0"/>
                <w:color w:val="000000"/>
                <w:kern w:val="0"/>
                <w:sz w:val="16"/>
                <w:szCs w:val="16"/>
                <w:u w:val="none"/>
                <w:lang w:val="en-US" w:eastAsia="zh-CN" w:bidi="ar"/>
              </w:rPr>
            </w:pPr>
            <w:r>
              <w:rPr>
                <w:rFonts w:hint="eastAsia" w:ascii="Times New Roman" w:hAnsi="Times New Roman" w:eastAsia="等线" w:cs="Times New Roman"/>
                <w:i w:val="0"/>
                <w:iCs w:val="0"/>
                <w:color w:val="000000"/>
                <w:kern w:val="0"/>
                <w:sz w:val="16"/>
                <w:szCs w:val="16"/>
                <w:u w:val="none"/>
                <w:lang w:val="en-US" w:eastAsia="zh-CN" w:bidi="ar"/>
              </w:rPr>
              <w:t xml:space="preserve">53.85 </w:t>
            </w:r>
          </w:p>
        </w:tc>
      </w:tr>
      <w:tr w14:paraId="66F10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88D8B73">
            <w:pPr>
              <w:keepLines w:val="0"/>
              <w:pageBreakBefore w:val="0"/>
              <w:wordWrap/>
              <w:overflowPunct/>
              <w:topLinePunct w:val="0"/>
              <w:bidi w:val="0"/>
              <w:spacing w:line="360" w:lineRule="auto"/>
              <w:rPr>
                <w:rFonts w:hint="eastAsia" w:ascii="Times New Roman" w:hAnsi="Times New Roman" w:eastAsia="宋体" w:cs="Times New Roman"/>
                <w:sz w:val="16"/>
                <w:szCs w:val="16"/>
                <w:lang w:eastAsia="zh-CN"/>
              </w:rPr>
            </w:pPr>
            <w:r>
              <w:rPr>
                <w:rFonts w:hint="eastAsia" w:ascii="Times New Roman" w:hAnsi="Times New Roman" w:eastAsia="宋体" w:cs="Times New Roman"/>
                <w:sz w:val="16"/>
                <w:szCs w:val="16"/>
                <w:lang w:eastAsia="zh-CN"/>
              </w:rPr>
              <w:t>（</w:t>
            </w:r>
            <w:r>
              <w:rPr>
                <w:rFonts w:hint="eastAsia" w:ascii="Times New Roman" w:hAnsi="Times New Roman" w:eastAsia="宋体" w:cs="Times New Roman"/>
                <w:sz w:val="16"/>
                <w:szCs w:val="16"/>
                <w:lang w:val="en-US" w:eastAsia="zh-CN"/>
              </w:rPr>
              <w:t>13</w:t>
            </w:r>
            <w:r>
              <w:rPr>
                <w:rFonts w:hint="eastAsia" w:ascii="Times New Roman" w:hAnsi="Times New Roman" w:eastAsia="宋体" w:cs="Times New Roman"/>
                <w:sz w:val="16"/>
                <w:szCs w:val="16"/>
                <w:lang w:eastAsia="zh-CN"/>
              </w:rPr>
              <w:t>）</w:t>
            </w:r>
          </w:p>
        </w:tc>
        <w:tc>
          <w:tcPr>
            <w:tcW w:w="0" w:type="auto"/>
            <w:vAlign w:val="center"/>
          </w:tcPr>
          <w:p w14:paraId="7E12099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356.90 </w:t>
            </w:r>
          </w:p>
        </w:tc>
        <w:tc>
          <w:tcPr>
            <w:tcW w:w="0" w:type="auto"/>
            <w:vAlign w:val="center"/>
          </w:tcPr>
          <w:p w14:paraId="776730F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163.93 </w:t>
            </w:r>
          </w:p>
        </w:tc>
        <w:tc>
          <w:tcPr>
            <w:tcW w:w="0" w:type="auto"/>
            <w:vAlign w:val="center"/>
          </w:tcPr>
          <w:p w14:paraId="4B07966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lang w:val="en-US" w:eastAsia="zh-CN"/>
              </w:rPr>
            </w:pPr>
            <w:r>
              <w:rPr>
                <w:rFonts w:hint="default" w:ascii="Times New Roman" w:hAnsi="Times New Roman" w:eastAsia="等线" w:cs="Times New Roman"/>
                <w:i w:val="0"/>
                <w:iCs w:val="0"/>
                <w:color w:val="000000"/>
                <w:kern w:val="0"/>
                <w:sz w:val="16"/>
                <w:szCs w:val="16"/>
                <w:u w:val="none"/>
                <w:lang w:val="en-US" w:eastAsia="zh-CN" w:bidi="ar"/>
              </w:rPr>
              <w:t xml:space="preserve">96.77 </w:t>
            </w:r>
          </w:p>
        </w:tc>
        <w:tc>
          <w:tcPr>
            <w:tcW w:w="0" w:type="auto"/>
            <w:vAlign w:val="center"/>
          </w:tcPr>
          <w:p w14:paraId="0BE040A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254.44 </w:t>
            </w:r>
          </w:p>
        </w:tc>
        <w:tc>
          <w:tcPr>
            <w:tcW w:w="0" w:type="auto"/>
            <w:vAlign w:val="center"/>
          </w:tcPr>
          <w:p w14:paraId="281352F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127.95 </w:t>
            </w:r>
          </w:p>
        </w:tc>
        <w:tc>
          <w:tcPr>
            <w:tcW w:w="0" w:type="auto"/>
            <w:vAlign w:val="center"/>
          </w:tcPr>
          <w:p w14:paraId="1F6AAA1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19.99 </w:t>
            </w:r>
          </w:p>
        </w:tc>
        <w:tc>
          <w:tcPr>
            <w:tcW w:w="618" w:type="dxa"/>
            <w:vAlign w:val="center"/>
          </w:tcPr>
          <w:p w14:paraId="71152BD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9.18 </w:t>
            </w:r>
          </w:p>
        </w:tc>
        <w:tc>
          <w:tcPr>
            <w:tcW w:w="663" w:type="dxa"/>
            <w:vAlign w:val="center"/>
          </w:tcPr>
          <w:p w14:paraId="4A8014C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5.42 </w:t>
            </w:r>
          </w:p>
        </w:tc>
        <w:tc>
          <w:tcPr>
            <w:tcW w:w="700" w:type="dxa"/>
            <w:vAlign w:val="center"/>
          </w:tcPr>
          <w:p w14:paraId="3BCC42B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14.25 </w:t>
            </w:r>
          </w:p>
        </w:tc>
        <w:tc>
          <w:tcPr>
            <w:tcW w:w="763" w:type="dxa"/>
            <w:shd w:val="clear" w:color="auto" w:fill="auto"/>
            <w:vAlign w:val="center"/>
          </w:tcPr>
          <w:p w14:paraId="7FB2FC1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kern w:val="2"/>
                <w:sz w:val="15"/>
                <w:szCs w:val="15"/>
                <w:lang w:val="en-US" w:eastAsia="zh-CN" w:bidi="ar-SA"/>
              </w:rPr>
            </w:pPr>
            <w:r>
              <w:rPr>
                <w:rFonts w:hint="default" w:ascii="Times New Roman" w:hAnsi="Times New Roman" w:eastAsia="等线" w:cs="Times New Roman"/>
                <w:i w:val="0"/>
                <w:iCs w:val="0"/>
                <w:color w:val="000000"/>
                <w:kern w:val="0"/>
                <w:sz w:val="16"/>
                <w:szCs w:val="16"/>
                <w:u w:val="none"/>
                <w:lang w:val="en-US" w:eastAsia="zh-CN" w:bidi="ar"/>
              </w:rPr>
              <w:t xml:space="preserve">7.17 </w:t>
            </w:r>
          </w:p>
        </w:tc>
        <w:tc>
          <w:tcPr>
            <w:tcW w:w="1172" w:type="dxa"/>
            <w:shd w:val="clear" w:color="auto" w:fill="auto"/>
            <w:vAlign w:val="center"/>
          </w:tcPr>
          <w:p w14:paraId="5F72A6EA">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6"/>
                <w:szCs w:val="16"/>
                <w:u w:val="none"/>
                <w:lang w:val="en-US" w:eastAsia="zh-CN" w:bidi="ar"/>
              </w:rPr>
            </w:pPr>
            <w:r>
              <w:rPr>
                <w:rFonts w:hint="eastAsia" w:ascii="Times New Roman" w:hAnsi="Times New Roman" w:eastAsia="等线" w:cs="Times New Roman"/>
                <w:i w:val="0"/>
                <w:iCs w:val="0"/>
                <w:color w:val="000000"/>
                <w:kern w:val="0"/>
                <w:sz w:val="16"/>
                <w:szCs w:val="16"/>
                <w:u w:val="none"/>
                <w:lang w:val="en-US" w:eastAsia="zh-CN" w:bidi="ar"/>
              </w:rPr>
              <w:t xml:space="preserve">56.00 </w:t>
            </w:r>
          </w:p>
        </w:tc>
      </w:tr>
      <w:tr w14:paraId="2652C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8290722">
            <w:pPr>
              <w:keepLines w:val="0"/>
              <w:pageBreakBefore w:val="0"/>
              <w:wordWrap/>
              <w:overflowPunct/>
              <w:topLinePunct w:val="0"/>
              <w:bidi w:val="0"/>
              <w:spacing w:line="360" w:lineRule="auto"/>
              <w:rPr>
                <w:rFonts w:hint="eastAsia" w:ascii="Times New Roman" w:hAnsi="Times New Roman" w:eastAsia="宋体" w:cs="Times New Roman"/>
                <w:sz w:val="16"/>
                <w:szCs w:val="16"/>
                <w:lang w:eastAsia="zh-CN"/>
              </w:rPr>
            </w:pPr>
            <w:r>
              <w:rPr>
                <w:rFonts w:hint="eastAsia" w:ascii="Times New Roman" w:hAnsi="Times New Roman" w:eastAsia="宋体" w:cs="Times New Roman"/>
                <w:sz w:val="16"/>
                <w:szCs w:val="16"/>
                <w:lang w:eastAsia="zh-CN"/>
              </w:rPr>
              <w:t>（</w:t>
            </w:r>
            <w:r>
              <w:rPr>
                <w:rFonts w:hint="eastAsia" w:ascii="Times New Roman" w:hAnsi="Times New Roman" w:eastAsia="宋体" w:cs="Times New Roman"/>
                <w:sz w:val="16"/>
                <w:szCs w:val="16"/>
                <w:lang w:val="en-US" w:eastAsia="zh-CN"/>
              </w:rPr>
              <w:t>14</w:t>
            </w:r>
            <w:r>
              <w:rPr>
                <w:rFonts w:hint="eastAsia" w:ascii="Times New Roman" w:hAnsi="Times New Roman" w:eastAsia="宋体" w:cs="Times New Roman"/>
                <w:sz w:val="16"/>
                <w:szCs w:val="16"/>
                <w:lang w:eastAsia="zh-CN"/>
              </w:rPr>
              <w:t>）</w:t>
            </w:r>
          </w:p>
        </w:tc>
        <w:tc>
          <w:tcPr>
            <w:tcW w:w="0" w:type="auto"/>
            <w:vAlign w:val="center"/>
          </w:tcPr>
          <w:p w14:paraId="70AB483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435.50 </w:t>
            </w:r>
          </w:p>
        </w:tc>
        <w:tc>
          <w:tcPr>
            <w:tcW w:w="0" w:type="auto"/>
            <w:vAlign w:val="center"/>
          </w:tcPr>
          <w:p w14:paraId="1973A0D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163.93 </w:t>
            </w:r>
          </w:p>
        </w:tc>
        <w:tc>
          <w:tcPr>
            <w:tcW w:w="0" w:type="auto"/>
            <w:vAlign w:val="center"/>
          </w:tcPr>
          <w:p w14:paraId="02A921B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lang w:val="en-US" w:eastAsia="zh-CN"/>
              </w:rPr>
            </w:pPr>
            <w:r>
              <w:rPr>
                <w:rFonts w:hint="default" w:ascii="Times New Roman" w:hAnsi="Times New Roman" w:eastAsia="等线" w:cs="Times New Roman"/>
                <w:i w:val="0"/>
                <w:iCs w:val="0"/>
                <w:color w:val="000000"/>
                <w:kern w:val="0"/>
                <w:sz w:val="16"/>
                <w:szCs w:val="16"/>
                <w:u w:val="none"/>
                <w:lang w:val="en-US" w:eastAsia="zh-CN" w:bidi="ar"/>
              </w:rPr>
              <w:t xml:space="preserve">177.42 </w:t>
            </w:r>
          </w:p>
        </w:tc>
        <w:tc>
          <w:tcPr>
            <w:tcW w:w="0" w:type="auto"/>
            <w:vAlign w:val="center"/>
          </w:tcPr>
          <w:p w14:paraId="1194324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192.30 </w:t>
            </w:r>
          </w:p>
        </w:tc>
        <w:tc>
          <w:tcPr>
            <w:tcW w:w="0" w:type="auto"/>
            <w:vAlign w:val="center"/>
          </w:tcPr>
          <w:p w14:paraId="75AF363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30.85 </w:t>
            </w:r>
          </w:p>
        </w:tc>
        <w:tc>
          <w:tcPr>
            <w:tcW w:w="0" w:type="auto"/>
            <w:vAlign w:val="center"/>
          </w:tcPr>
          <w:p w14:paraId="158A6A0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22.58 </w:t>
            </w:r>
          </w:p>
        </w:tc>
        <w:tc>
          <w:tcPr>
            <w:tcW w:w="618" w:type="dxa"/>
            <w:vAlign w:val="center"/>
          </w:tcPr>
          <w:p w14:paraId="4AB7F92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8.50 </w:t>
            </w:r>
          </w:p>
        </w:tc>
        <w:tc>
          <w:tcPr>
            <w:tcW w:w="663" w:type="dxa"/>
            <w:vAlign w:val="center"/>
          </w:tcPr>
          <w:p w14:paraId="19B8011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9.20 </w:t>
            </w:r>
          </w:p>
        </w:tc>
        <w:tc>
          <w:tcPr>
            <w:tcW w:w="700" w:type="dxa"/>
            <w:vAlign w:val="center"/>
          </w:tcPr>
          <w:p w14:paraId="3EA7B2F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lang w:val="en-US" w:eastAsia="zh-CN"/>
              </w:rPr>
            </w:pPr>
            <w:r>
              <w:rPr>
                <w:rFonts w:hint="default" w:ascii="Times New Roman" w:hAnsi="Times New Roman" w:eastAsia="等线" w:cs="Times New Roman"/>
                <w:i w:val="0"/>
                <w:iCs w:val="0"/>
                <w:color w:val="000000"/>
                <w:kern w:val="0"/>
                <w:sz w:val="16"/>
                <w:szCs w:val="16"/>
                <w:u w:val="none"/>
                <w:lang w:val="en-US" w:eastAsia="zh-CN" w:bidi="ar"/>
              </w:rPr>
              <w:t xml:space="preserve">9.97 </w:t>
            </w:r>
          </w:p>
        </w:tc>
        <w:tc>
          <w:tcPr>
            <w:tcW w:w="763" w:type="dxa"/>
            <w:shd w:val="clear" w:color="auto" w:fill="auto"/>
            <w:vAlign w:val="center"/>
          </w:tcPr>
          <w:p w14:paraId="5085B15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kern w:val="2"/>
                <w:sz w:val="15"/>
                <w:szCs w:val="15"/>
                <w:lang w:val="en-US" w:eastAsia="zh-CN" w:bidi="ar-SA"/>
              </w:rPr>
            </w:pPr>
            <w:r>
              <w:rPr>
                <w:rFonts w:hint="default" w:ascii="Times New Roman" w:hAnsi="Times New Roman" w:eastAsia="等线" w:cs="Times New Roman"/>
                <w:i w:val="0"/>
                <w:iCs w:val="0"/>
                <w:color w:val="000000"/>
                <w:kern w:val="0"/>
                <w:sz w:val="16"/>
                <w:szCs w:val="16"/>
                <w:u w:val="none"/>
                <w:lang w:val="en-US" w:eastAsia="zh-CN" w:bidi="ar"/>
              </w:rPr>
              <w:t xml:space="preserve">1.60 </w:t>
            </w:r>
          </w:p>
        </w:tc>
        <w:tc>
          <w:tcPr>
            <w:tcW w:w="1172" w:type="dxa"/>
            <w:shd w:val="clear" w:color="auto" w:fill="auto"/>
            <w:vAlign w:val="center"/>
          </w:tcPr>
          <w:p w14:paraId="531A2288">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6"/>
                <w:szCs w:val="16"/>
                <w:u w:val="none"/>
                <w:lang w:val="en-US" w:eastAsia="zh-CN" w:bidi="ar"/>
              </w:rPr>
            </w:pPr>
            <w:r>
              <w:rPr>
                <w:rFonts w:hint="eastAsia" w:ascii="Times New Roman" w:hAnsi="Times New Roman" w:eastAsia="等线" w:cs="Times New Roman"/>
                <w:i w:val="0"/>
                <w:iCs w:val="0"/>
                <w:color w:val="000000"/>
                <w:kern w:val="0"/>
                <w:sz w:val="16"/>
                <w:szCs w:val="16"/>
                <w:u w:val="none"/>
                <w:lang w:val="en-US" w:eastAsia="zh-CN" w:bidi="ar"/>
              </w:rPr>
              <w:t xml:space="preserve">51.85 </w:t>
            </w:r>
          </w:p>
        </w:tc>
      </w:tr>
      <w:tr w14:paraId="79B2A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60D8A84">
            <w:pPr>
              <w:keepLines w:val="0"/>
              <w:pageBreakBefore w:val="0"/>
              <w:wordWrap/>
              <w:overflowPunct/>
              <w:topLinePunct w:val="0"/>
              <w:bidi w:val="0"/>
              <w:spacing w:line="360" w:lineRule="auto"/>
              <w:rPr>
                <w:rFonts w:hint="eastAsia" w:ascii="Times New Roman" w:hAnsi="Times New Roman" w:eastAsia="宋体" w:cs="Times New Roman"/>
                <w:sz w:val="16"/>
                <w:szCs w:val="16"/>
                <w:lang w:eastAsia="zh-CN"/>
              </w:rPr>
            </w:pPr>
            <w:r>
              <w:rPr>
                <w:rFonts w:hint="eastAsia" w:ascii="Times New Roman" w:hAnsi="Times New Roman" w:eastAsia="宋体" w:cs="Times New Roman"/>
                <w:sz w:val="16"/>
                <w:szCs w:val="16"/>
                <w:lang w:eastAsia="zh-CN"/>
              </w:rPr>
              <w:t>（</w:t>
            </w:r>
            <w:r>
              <w:rPr>
                <w:rFonts w:hint="eastAsia" w:ascii="Times New Roman" w:hAnsi="Times New Roman" w:eastAsia="宋体" w:cs="Times New Roman"/>
                <w:sz w:val="16"/>
                <w:szCs w:val="16"/>
                <w:lang w:val="en-US" w:eastAsia="zh-CN"/>
              </w:rPr>
              <w:t>15</w:t>
            </w:r>
            <w:r>
              <w:rPr>
                <w:rFonts w:hint="eastAsia" w:ascii="Times New Roman" w:hAnsi="Times New Roman" w:eastAsia="宋体" w:cs="Times New Roman"/>
                <w:sz w:val="16"/>
                <w:szCs w:val="16"/>
                <w:lang w:eastAsia="zh-CN"/>
              </w:rPr>
              <w:t>）</w:t>
            </w:r>
          </w:p>
        </w:tc>
        <w:tc>
          <w:tcPr>
            <w:tcW w:w="0" w:type="auto"/>
            <w:vAlign w:val="center"/>
          </w:tcPr>
          <w:p w14:paraId="4401CA2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261.80 </w:t>
            </w:r>
          </w:p>
        </w:tc>
        <w:tc>
          <w:tcPr>
            <w:tcW w:w="0" w:type="auto"/>
            <w:vAlign w:val="center"/>
          </w:tcPr>
          <w:p w14:paraId="1BD58AF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327.87 </w:t>
            </w:r>
          </w:p>
        </w:tc>
        <w:tc>
          <w:tcPr>
            <w:tcW w:w="0" w:type="auto"/>
            <w:vAlign w:val="center"/>
          </w:tcPr>
          <w:p w14:paraId="6157422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lang w:val="en-US" w:eastAsia="zh-CN"/>
              </w:rPr>
            </w:pPr>
            <w:r>
              <w:rPr>
                <w:rFonts w:hint="default" w:ascii="Times New Roman" w:hAnsi="Times New Roman" w:eastAsia="等线" w:cs="Times New Roman"/>
                <w:i w:val="0"/>
                <w:iCs w:val="0"/>
                <w:color w:val="000000"/>
                <w:kern w:val="0"/>
                <w:sz w:val="16"/>
                <w:szCs w:val="16"/>
                <w:u w:val="none"/>
                <w:lang w:val="en-US" w:eastAsia="zh-CN" w:bidi="ar"/>
              </w:rPr>
              <w:t xml:space="preserve">80.65 </w:t>
            </w:r>
          </w:p>
        </w:tc>
        <w:tc>
          <w:tcPr>
            <w:tcW w:w="0" w:type="auto"/>
            <w:vAlign w:val="center"/>
          </w:tcPr>
          <w:p w14:paraId="248F3FF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231.65 </w:t>
            </w:r>
          </w:p>
        </w:tc>
        <w:tc>
          <w:tcPr>
            <w:tcW w:w="0" w:type="auto"/>
            <w:vAlign w:val="center"/>
          </w:tcPr>
          <w:p w14:paraId="2CDAC13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98.04 </w:t>
            </w:r>
          </w:p>
        </w:tc>
        <w:tc>
          <w:tcPr>
            <w:tcW w:w="0" w:type="auto"/>
            <w:vAlign w:val="center"/>
          </w:tcPr>
          <w:p w14:paraId="53BAF90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16.66 </w:t>
            </w:r>
          </w:p>
        </w:tc>
        <w:tc>
          <w:tcPr>
            <w:tcW w:w="618" w:type="dxa"/>
            <w:vAlign w:val="center"/>
          </w:tcPr>
          <w:p w14:paraId="2817F17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20.86 </w:t>
            </w:r>
          </w:p>
        </w:tc>
        <w:tc>
          <w:tcPr>
            <w:tcW w:w="663" w:type="dxa"/>
            <w:vAlign w:val="center"/>
          </w:tcPr>
          <w:p w14:paraId="67CE386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5.13 </w:t>
            </w:r>
          </w:p>
        </w:tc>
        <w:tc>
          <w:tcPr>
            <w:tcW w:w="700" w:type="dxa"/>
            <w:vAlign w:val="center"/>
          </w:tcPr>
          <w:p w14:paraId="5AEC83B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14.74 </w:t>
            </w:r>
          </w:p>
        </w:tc>
        <w:tc>
          <w:tcPr>
            <w:tcW w:w="763" w:type="dxa"/>
            <w:vAlign w:val="center"/>
          </w:tcPr>
          <w:p w14:paraId="0AB7FDD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lang w:val="en-US" w:eastAsia="zh-CN"/>
              </w:rPr>
            </w:pPr>
            <w:r>
              <w:rPr>
                <w:rFonts w:hint="default" w:ascii="Times New Roman" w:hAnsi="Times New Roman" w:eastAsia="等线" w:cs="Times New Roman"/>
                <w:i w:val="0"/>
                <w:iCs w:val="0"/>
                <w:color w:val="000000"/>
                <w:kern w:val="0"/>
                <w:sz w:val="16"/>
                <w:szCs w:val="16"/>
                <w:u w:val="none"/>
                <w:lang w:val="en-US" w:eastAsia="zh-CN" w:bidi="ar"/>
              </w:rPr>
              <w:t xml:space="preserve">6.24 </w:t>
            </w:r>
          </w:p>
        </w:tc>
        <w:tc>
          <w:tcPr>
            <w:tcW w:w="1172" w:type="dxa"/>
            <w:vAlign w:val="center"/>
          </w:tcPr>
          <w:p w14:paraId="77564AC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等线" w:cs="Times New Roman"/>
                <w:i w:val="0"/>
                <w:iCs w:val="0"/>
                <w:color w:val="000000"/>
                <w:kern w:val="0"/>
                <w:sz w:val="16"/>
                <w:szCs w:val="16"/>
                <w:u w:val="none"/>
                <w:lang w:val="en-US" w:eastAsia="zh-CN" w:bidi="ar"/>
              </w:rPr>
            </w:pPr>
            <w:r>
              <w:rPr>
                <w:rFonts w:hint="eastAsia" w:ascii="Times New Roman" w:hAnsi="Times New Roman" w:eastAsia="等线" w:cs="Times New Roman"/>
                <w:i w:val="0"/>
                <w:iCs w:val="0"/>
                <w:color w:val="000000"/>
                <w:kern w:val="0"/>
                <w:sz w:val="16"/>
                <w:szCs w:val="16"/>
                <w:u w:val="none"/>
                <w:lang w:val="en-US" w:eastAsia="zh-CN" w:bidi="ar"/>
              </w:rPr>
              <w:t xml:space="preserve">63.64 </w:t>
            </w:r>
          </w:p>
        </w:tc>
      </w:tr>
      <w:tr w14:paraId="5773C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vAlign w:val="top"/>
          </w:tcPr>
          <w:p w14:paraId="6DD901C1">
            <w:pPr>
              <w:keepLines w:val="0"/>
              <w:pageBreakBefore w:val="0"/>
              <w:wordWrap/>
              <w:overflowPunct/>
              <w:topLinePunct w:val="0"/>
              <w:bidi w:val="0"/>
              <w:spacing w:line="360" w:lineRule="auto"/>
              <w:rPr>
                <w:rFonts w:hint="eastAsia" w:ascii="Times New Roman" w:hAnsi="Times New Roman" w:eastAsia="宋体" w:cs="Times New Roman"/>
                <w:kern w:val="2"/>
                <w:sz w:val="16"/>
                <w:szCs w:val="16"/>
                <w:lang w:val="en-US" w:eastAsia="zh-CN" w:bidi="ar-SA"/>
              </w:rPr>
            </w:pPr>
            <w:r>
              <w:rPr>
                <w:rFonts w:ascii="Times New Roman" w:hAnsi="Times New Roman" w:eastAsia="宋体" w:cs="Times New Roman"/>
                <w:sz w:val="16"/>
                <w:szCs w:val="16"/>
              </w:rPr>
              <w:t>（</w:t>
            </w:r>
            <w:r>
              <w:rPr>
                <w:rFonts w:hint="eastAsia" w:ascii="Times New Roman" w:hAnsi="Times New Roman" w:eastAsia="宋体" w:cs="Times New Roman"/>
                <w:sz w:val="16"/>
                <w:szCs w:val="16"/>
                <w:lang w:val="en-US" w:eastAsia="zh-CN"/>
              </w:rPr>
              <w:t>1</w:t>
            </w:r>
            <w:r>
              <w:rPr>
                <w:rFonts w:ascii="Times New Roman" w:hAnsi="Times New Roman" w:eastAsia="宋体" w:cs="Times New Roman"/>
                <w:sz w:val="16"/>
                <w:szCs w:val="16"/>
              </w:rPr>
              <w:t>6）</w:t>
            </w:r>
          </w:p>
        </w:tc>
        <w:tc>
          <w:tcPr>
            <w:tcW w:w="0" w:type="auto"/>
            <w:vAlign w:val="center"/>
          </w:tcPr>
          <w:p w14:paraId="0470108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530.70 </w:t>
            </w:r>
          </w:p>
        </w:tc>
        <w:tc>
          <w:tcPr>
            <w:tcW w:w="0" w:type="auto"/>
            <w:vAlign w:val="center"/>
          </w:tcPr>
          <w:p w14:paraId="002D2A6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163.93 </w:t>
            </w:r>
          </w:p>
        </w:tc>
        <w:tc>
          <w:tcPr>
            <w:tcW w:w="0" w:type="auto"/>
            <w:vAlign w:val="center"/>
          </w:tcPr>
          <w:p w14:paraId="4D173F0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lang w:val="en-US" w:eastAsia="zh-CN"/>
              </w:rPr>
            </w:pPr>
            <w:r>
              <w:rPr>
                <w:rFonts w:hint="default" w:ascii="Times New Roman" w:hAnsi="Times New Roman" w:eastAsia="等线" w:cs="Times New Roman"/>
                <w:i w:val="0"/>
                <w:iCs w:val="0"/>
                <w:color w:val="000000"/>
                <w:kern w:val="0"/>
                <w:sz w:val="16"/>
                <w:szCs w:val="16"/>
                <w:u w:val="none"/>
                <w:lang w:val="en-US" w:eastAsia="zh-CN" w:bidi="ar"/>
              </w:rPr>
              <w:t xml:space="preserve">193.55 </w:t>
            </w:r>
          </w:p>
        </w:tc>
        <w:tc>
          <w:tcPr>
            <w:tcW w:w="0" w:type="auto"/>
            <w:vAlign w:val="center"/>
          </w:tcPr>
          <w:p w14:paraId="561C3C0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0.00 </w:t>
            </w:r>
          </w:p>
        </w:tc>
        <w:tc>
          <w:tcPr>
            <w:tcW w:w="0" w:type="auto"/>
            <w:vAlign w:val="center"/>
          </w:tcPr>
          <w:p w14:paraId="290AC35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111.82 </w:t>
            </w:r>
          </w:p>
        </w:tc>
        <w:tc>
          <w:tcPr>
            <w:tcW w:w="0" w:type="auto"/>
            <w:vAlign w:val="center"/>
          </w:tcPr>
          <w:p w14:paraId="68DED69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28.58 </w:t>
            </w:r>
          </w:p>
        </w:tc>
        <w:tc>
          <w:tcPr>
            <w:tcW w:w="618" w:type="dxa"/>
            <w:vAlign w:val="center"/>
          </w:tcPr>
          <w:p w14:paraId="62BD88A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8.83 </w:t>
            </w:r>
          </w:p>
        </w:tc>
        <w:tc>
          <w:tcPr>
            <w:tcW w:w="663" w:type="dxa"/>
            <w:vAlign w:val="center"/>
          </w:tcPr>
          <w:p w14:paraId="69F06AF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10.42 </w:t>
            </w:r>
          </w:p>
        </w:tc>
        <w:tc>
          <w:tcPr>
            <w:tcW w:w="700" w:type="dxa"/>
            <w:vAlign w:val="center"/>
          </w:tcPr>
          <w:p w14:paraId="77BD34C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0.00 </w:t>
            </w:r>
          </w:p>
        </w:tc>
        <w:tc>
          <w:tcPr>
            <w:tcW w:w="763" w:type="dxa"/>
            <w:vAlign w:val="center"/>
          </w:tcPr>
          <w:p w14:paraId="2A6A3AE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lang w:val="en-US" w:eastAsia="zh-CN"/>
              </w:rPr>
            </w:pPr>
            <w:r>
              <w:rPr>
                <w:rFonts w:hint="default" w:ascii="Times New Roman" w:hAnsi="Times New Roman" w:eastAsia="等线" w:cs="Times New Roman"/>
                <w:i w:val="0"/>
                <w:iCs w:val="0"/>
                <w:color w:val="000000"/>
                <w:kern w:val="0"/>
                <w:sz w:val="16"/>
                <w:szCs w:val="16"/>
                <w:u w:val="none"/>
                <w:lang w:val="en-US" w:eastAsia="zh-CN" w:bidi="ar"/>
              </w:rPr>
              <w:t xml:space="preserve">6.02 </w:t>
            </w:r>
          </w:p>
        </w:tc>
        <w:tc>
          <w:tcPr>
            <w:tcW w:w="1172" w:type="dxa"/>
            <w:vAlign w:val="center"/>
          </w:tcPr>
          <w:p w14:paraId="27F2DC64">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6"/>
                <w:szCs w:val="16"/>
                <w:u w:val="none"/>
                <w:lang w:val="en-US" w:eastAsia="zh-CN" w:bidi="ar"/>
              </w:rPr>
            </w:pPr>
            <w:r>
              <w:rPr>
                <w:rFonts w:hint="eastAsia" w:ascii="Times New Roman" w:hAnsi="Times New Roman" w:eastAsia="等线" w:cs="Times New Roman"/>
                <w:i w:val="0"/>
                <w:iCs w:val="0"/>
                <w:color w:val="000000"/>
                <w:kern w:val="0"/>
                <w:sz w:val="16"/>
                <w:szCs w:val="16"/>
                <w:u w:val="none"/>
                <w:lang w:val="en-US" w:eastAsia="zh-CN" w:bidi="ar"/>
              </w:rPr>
              <w:t xml:space="preserve">53.85 </w:t>
            </w:r>
          </w:p>
        </w:tc>
      </w:tr>
      <w:tr w14:paraId="25062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vAlign w:val="top"/>
          </w:tcPr>
          <w:p w14:paraId="6B1A7DFB">
            <w:pPr>
              <w:keepLines w:val="0"/>
              <w:pageBreakBefore w:val="0"/>
              <w:wordWrap/>
              <w:overflowPunct/>
              <w:topLinePunct w:val="0"/>
              <w:bidi w:val="0"/>
              <w:spacing w:line="360" w:lineRule="auto"/>
              <w:rPr>
                <w:rFonts w:hint="eastAsia" w:ascii="Times New Roman" w:hAnsi="Times New Roman" w:eastAsia="宋体" w:cs="Times New Roman"/>
                <w:kern w:val="2"/>
                <w:sz w:val="16"/>
                <w:szCs w:val="16"/>
                <w:lang w:val="en-US" w:eastAsia="zh-CN" w:bidi="ar-SA"/>
              </w:rPr>
            </w:pPr>
            <w:r>
              <w:rPr>
                <w:rFonts w:hint="eastAsia" w:ascii="Times New Roman" w:hAnsi="Times New Roman" w:eastAsia="宋体" w:cs="Times New Roman"/>
                <w:sz w:val="16"/>
                <w:szCs w:val="16"/>
              </w:rPr>
              <w:t>（</w:t>
            </w:r>
            <w:r>
              <w:rPr>
                <w:rFonts w:hint="eastAsia" w:ascii="Times New Roman" w:hAnsi="Times New Roman" w:eastAsia="宋体" w:cs="Times New Roman"/>
                <w:sz w:val="16"/>
                <w:szCs w:val="16"/>
                <w:lang w:val="en-US" w:eastAsia="zh-CN"/>
              </w:rPr>
              <w:t>1</w:t>
            </w:r>
            <w:r>
              <w:rPr>
                <w:rFonts w:hint="eastAsia" w:ascii="Times New Roman" w:hAnsi="Times New Roman" w:eastAsia="宋体" w:cs="Times New Roman"/>
                <w:sz w:val="16"/>
                <w:szCs w:val="16"/>
              </w:rPr>
              <w:t>7）</w:t>
            </w:r>
          </w:p>
        </w:tc>
        <w:tc>
          <w:tcPr>
            <w:tcW w:w="0" w:type="auto"/>
            <w:vAlign w:val="center"/>
          </w:tcPr>
          <w:p w14:paraId="652537F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528.30 </w:t>
            </w:r>
          </w:p>
        </w:tc>
        <w:tc>
          <w:tcPr>
            <w:tcW w:w="0" w:type="auto"/>
            <w:vAlign w:val="center"/>
          </w:tcPr>
          <w:p w14:paraId="41CAF2E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196.72 </w:t>
            </w:r>
          </w:p>
        </w:tc>
        <w:tc>
          <w:tcPr>
            <w:tcW w:w="0" w:type="auto"/>
            <w:vAlign w:val="center"/>
          </w:tcPr>
          <w:p w14:paraId="5BEE2BF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lang w:val="en-US" w:eastAsia="zh-CN"/>
              </w:rPr>
            </w:pPr>
            <w:r>
              <w:rPr>
                <w:rFonts w:hint="default" w:ascii="Times New Roman" w:hAnsi="Times New Roman" w:eastAsia="等线" w:cs="Times New Roman"/>
                <w:i w:val="0"/>
                <w:iCs w:val="0"/>
                <w:color w:val="000000"/>
                <w:kern w:val="0"/>
                <w:sz w:val="16"/>
                <w:szCs w:val="16"/>
                <w:u w:val="none"/>
                <w:lang w:val="en-US" w:eastAsia="zh-CN" w:bidi="ar"/>
              </w:rPr>
              <w:t xml:space="preserve">193.55 </w:t>
            </w:r>
          </w:p>
        </w:tc>
        <w:tc>
          <w:tcPr>
            <w:tcW w:w="0" w:type="auto"/>
            <w:vAlign w:val="center"/>
          </w:tcPr>
          <w:p w14:paraId="5996AA1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0.00 </w:t>
            </w:r>
          </w:p>
        </w:tc>
        <w:tc>
          <w:tcPr>
            <w:tcW w:w="0" w:type="auto"/>
            <w:vAlign w:val="center"/>
          </w:tcPr>
          <w:p w14:paraId="17CF92F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81.43 </w:t>
            </w:r>
          </w:p>
        </w:tc>
        <w:tc>
          <w:tcPr>
            <w:tcW w:w="0" w:type="auto"/>
            <w:vAlign w:val="center"/>
          </w:tcPr>
          <w:p w14:paraId="4877118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27.39 </w:t>
            </w:r>
          </w:p>
        </w:tc>
        <w:tc>
          <w:tcPr>
            <w:tcW w:w="618" w:type="dxa"/>
            <w:vAlign w:val="center"/>
          </w:tcPr>
          <w:p w14:paraId="7B6A6FA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10.20 </w:t>
            </w:r>
          </w:p>
        </w:tc>
        <w:tc>
          <w:tcPr>
            <w:tcW w:w="663" w:type="dxa"/>
            <w:vAlign w:val="center"/>
          </w:tcPr>
          <w:p w14:paraId="360BAB9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10.04 </w:t>
            </w:r>
          </w:p>
        </w:tc>
        <w:tc>
          <w:tcPr>
            <w:tcW w:w="700" w:type="dxa"/>
            <w:vAlign w:val="center"/>
          </w:tcPr>
          <w:p w14:paraId="39BBDD0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0.00 </w:t>
            </w:r>
          </w:p>
        </w:tc>
        <w:tc>
          <w:tcPr>
            <w:tcW w:w="763" w:type="dxa"/>
            <w:vAlign w:val="center"/>
          </w:tcPr>
          <w:p w14:paraId="6005155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lang w:val="en-US" w:eastAsia="zh-CN"/>
              </w:rPr>
            </w:pPr>
            <w:r>
              <w:rPr>
                <w:rFonts w:hint="default" w:ascii="Times New Roman" w:hAnsi="Times New Roman" w:eastAsia="等线" w:cs="Times New Roman"/>
                <w:i w:val="0"/>
                <w:iCs w:val="0"/>
                <w:color w:val="000000"/>
                <w:kern w:val="0"/>
                <w:sz w:val="16"/>
                <w:szCs w:val="16"/>
                <w:u w:val="none"/>
                <w:lang w:val="en-US" w:eastAsia="zh-CN" w:bidi="ar"/>
              </w:rPr>
              <w:t xml:space="preserve">4.22 </w:t>
            </w:r>
          </w:p>
        </w:tc>
        <w:tc>
          <w:tcPr>
            <w:tcW w:w="1172" w:type="dxa"/>
            <w:vAlign w:val="center"/>
          </w:tcPr>
          <w:p w14:paraId="7E17D1D8">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6"/>
                <w:szCs w:val="16"/>
                <w:u w:val="none"/>
                <w:lang w:val="en-US" w:eastAsia="zh-CN" w:bidi="ar"/>
              </w:rPr>
            </w:pPr>
            <w:r>
              <w:rPr>
                <w:rFonts w:hint="eastAsia" w:ascii="Times New Roman" w:hAnsi="Times New Roman" w:eastAsia="等线" w:cs="Times New Roman"/>
                <w:i w:val="0"/>
                <w:iCs w:val="0"/>
                <w:color w:val="000000"/>
                <w:kern w:val="0"/>
                <w:sz w:val="16"/>
                <w:szCs w:val="16"/>
                <w:u w:val="none"/>
                <w:lang w:val="en-US" w:eastAsia="zh-CN" w:bidi="ar"/>
              </w:rPr>
              <w:t xml:space="preserve">51.85 </w:t>
            </w:r>
          </w:p>
        </w:tc>
      </w:tr>
      <w:tr w14:paraId="14B26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vAlign w:val="top"/>
          </w:tcPr>
          <w:p w14:paraId="64A47297">
            <w:pPr>
              <w:keepLines w:val="0"/>
              <w:pageBreakBefore w:val="0"/>
              <w:wordWrap/>
              <w:overflowPunct/>
              <w:topLinePunct w:val="0"/>
              <w:bidi w:val="0"/>
              <w:spacing w:line="360" w:lineRule="auto"/>
              <w:rPr>
                <w:rFonts w:hint="eastAsia" w:ascii="Times New Roman" w:hAnsi="Times New Roman" w:eastAsia="宋体" w:cs="Times New Roman"/>
                <w:kern w:val="2"/>
                <w:sz w:val="16"/>
                <w:szCs w:val="16"/>
                <w:lang w:val="en-US" w:eastAsia="zh-CN" w:bidi="ar-SA"/>
              </w:rPr>
            </w:pPr>
            <w:r>
              <w:rPr>
                <w:rFonts w:hint="eastAsia" w:ascii="Times New Roman" w:hAnsi="Times New Roman" w:eastAsia="宋体" w:cs="Times New Roman"/>
                <w:sz w:val="16"/>
                <w:szCs w:val="16"/>
              </w:rPr>
              <w:t>（</w:t>
            </w:r>
            <w:r>
              <w:rPr>
                <w:rFonts w:hint="eastAsia" w:ascii="Times New Roman" w:hAnsi="Times New Roman" w:eastAsia="宋体" w:cs="Times New Roman"/>
                <w:sz w:val="16"/>
                <w:szCs w:val="16"/>
                <w:lang w:val="en-US" w:eastAsia="zh-CN"/>
              </w:rPr>
              <w:t>1</w:t>
            </w:r>
            <w:r>
              <w:rPr>
                <w:rFonts w:hint="eastAsia" w:ascii="Times New Roman" w:hAnsi="Times New Roman" w:eastAsia="宋体" w:cs="Times New Roman"/>
                <w:sz w:val="16"/>
                <w:szCs w:val="16"/>
              </w:rPr>
              <w:t>8）</w:t>
            </w:r>
          </w:p>
        </w:tc>
        <w:tc>
          <w:tcPr>
            <w:tcW w:w="0" w:type="auto"/>
            <w:vAlign w:val="center"/>
          </w:tcPr>
          <w:p w14:paraId="43770AC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466.00 </w:t>
            </w:r>
          </w:p>
        </w:tc>
        <w:tc>
          <w:tcPr>
            <w:tcW w:w="0" w:type="auto"/>
            <w:vAlign w:val="center"/>
          </w:tcPr>
          <w:p w14:paraId="00D8B66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163.93 </w:t>
            </w:r>
          </w:p>
        </w:tc>
        <w:tc>
          <w:tcPr>
            <w:tcW w:w="0" w:type="auto"/>
            <w:vAlign w:val="center"/>
          </w:tcPr>
          <w:p w14:paraId="2C302BF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lang w:val="en-US" w:eastAsia="zh-CN"/>
              </w:rPr>
            </w:pPr>
            <w:r>
              <w:rPr>
                <w:rFonts w:hint="default" w:ascii="Times New Roman" w:hAnsi="Times New Roman" w:eastAsia="等线" w:cs="Times New Roman"/>
                <w:i w:val="0"/>
                <w:iCs w:val="0"/>
                <w:color w:val="000000"/>
                <w:kern w:val="0"/>
                <w:sz w:val="16"/>
                <w:szCs w:val="16"/>
                <w:u w:val="none"/>
                <w:lang w:val="en-US" w:eastAsia="zh-CN" w:bidi="ar"/>
              </w:rPr>
              <w:t xml:space="preserve">193.55 </w:t>
            </w:r>
          </w:p>
        </w:tc>
        <w:tc>
          <w:tcPr>
            <w:tcW w:w="0" w:type="auto"/>
            <w:vAlign w:val="center"/>
          </w:tcPr>
          <w:p w14:paraId="6BEF809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99.88 </w:t>
            </w:r>
          </w:p>
        </w:tc>
        <w:tc>
          <w:tcPr>
            <w:tcW w:w="0" w:type="auto"/>
            <w:vAlign w:val="center"/>
          </w:tcPr>
          <w:p w14:paraId="0690FD7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76.64 </w:t>
            </w:r>
          </w:p>
        </w:tc>
        <w:tc>
          <w:tcPr>
            <w:tcW w:w="0" w:type="auto"/>
            <w:vAlign w:val="center"/>
          </w:tcPr>
          <w:p w14:paraId="6A293C2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25.09 </w:t>
            </w:r>
          </w:p>
        </w:tc>
        <w:tc>
          <w:tcPr>
            <w:tcW w:w="618" w:type="dxa"/>
            <w:vAlign w:val="center"/>
          </w:tcPr>
          <w:p w14:paraId="0ED6B62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8.83 </w:t>
            </w:r>
          </w:p>
        </w:tc>
        <w:tc>
          <w:tcPr>
            <w:tcW w:w="663" w:type="dxa"/>
            <w:vAlign w:val="center"/>
          </w:tcPr>
          <w:p w14:paraId="7530DD6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10.42 </w:t>
            </w:r>
          </w:p>
        </w:tc>
        <w:tc>
          <w:tcPr>
            <w:tcW w:w="700" w:type="dxa"/>
            <w:vAlign w:val="center"/>
          </w:tcPr>
          <w:p w14:paraId="2FA7ACA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5.38 </w:t>
            </w:r>
          </w:p>
        </w:tc>
        <w:tc>
          <w:tcPr>
            <w:tcW w:w="763" w:type="dxa"/>
            <w:vAlign w:val="center"/>
          </w:tcPr>
          <w:p w14:paraId="577247F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lang w:val="en-US" w:eastAsia="zh-CN"/>
              </w:rPr>
            </w:pPr>
            <w:r>
              <w:rPr>
                <w:rFonts w:hint="default" w:ascii="Times New Roman" w:hAnsi="Times New Roman" w:eastAsia="等线" w:cs="Times New Roman"/>
                <w:i w:val="0"/>
                <w:iCs w:val="0"/>
                <w:color w:val="000000"/>
                <w:kern w:val="0"/>
                <w:sz w:val="16"/>
                <w:szCs w:val="16"/>
                <w:u w:val="none"/>
                <w:lang w:val="en-US" w:eastAsia="zh-CN" w:bidi="ar"/>
              </w:rPr>
              <w:t xml:space="preserve">4.13 </w:t>
            </w:r>
          </w:p>
        </w:tc>
        <w:tc>
          <w:tcPr>
            <w:tcW w:w="1172" w:type="dxa"/>
            <w:vAlign w:val="center"/>
          </w:tcPr>
          <w:p w14:paraId="2042D358">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6"/>
                <w:szCs w:val="16"/>
                <w:u w:val="none"/>
                <w:lang w:val="en-US" w:eastAsia="zh-CN" w:bidi="ar"/>
              </w:rPr>
            </w:pPr>
            <w:r>
              <w:rPr>
                <w:rFonts w:hint="eastAsia" w:ascii="Times New Roman" w:hAnsi="Times New Roman" w:eastAsia="等线" w:cs="Times New Roman"/>
                <w:i w:val="0"/>
                <w:iCs w:val="0"/>
                <w:color w:val="000000"/>
                <w:kern w:val="0"/>
                <w:sz w:val="16"/>
                <w:szCs w:val="16"/>
                <w:u w:val="none"/>
                <w:lang w:val="en-US" w:eastAsia="zh-CN" w:bidi="ar"/>
              </w:rPr>
              <w:t xml:space="preserve">53.85 </w:t>
            </w:r>
          </w:p>
        </w:tc>
      </w:tr>
      <w:tr w14:paraId="04B8A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vAlign w:val="top"/>
          </w:tcPr>
          <w:p w14:paraId="2C5D6875">
            <w:pPr>
              <w:keepLines w:val="0"/>
              <w:pageBreakBefore w:val="0"/>
              <w:wordWrap/>
              <w:overflowPunct/>
              <w:topLinePunct w:val="0"/>
              <w:bidi w:val="0"/>
              <w:spacing w:line="360" w:lineRule="auto"/>
              <w:rPr>
                <w:rFonts w:hint="eastAsia" w:ascii="Times New Roman" w:hAnsi="Times New Roman" w:eastAsia="宋体" w:cs="Times New Roman"/>
                <w:kern w:val="2"/>
                <w:sz w:val="16"/>
                <w:szCs w:val="16"/>
                <w:lang w:val="en-US" w:eastAsia="zh-CN" w:bidi="ar-SA"/>
              </w:rPr>
            </w:pPr>
            <w:r>
              <w:rPr>
                <w:rFonts w:ascii="Times New Roman" w:hAnsi="Times New Roman" w:eastAsia="宋体" w:cs="Times New Roman"/>
                <w:sz w:val="16"/>
                <w:szCs w:val="16"/>
              </w:rPr>
              <w:t>（</w:t>
            </w:r>
            <w:r>
              <w:rPr>
                <w:rFonts w:hint="eastAsia" w:ascii="Times New Roman" w:hAnsi="Times New Roman" w:eastAsia="宋体" w:cs="Times New Roman"/>
                <w:sz w:val="16"/>
                <w:szCs w:val="16"/>
                <w:lang w:val="en-US" w:eastAsia="zh-CN"/>
              </w:rPr>
              <w:t>19</w:t>
            </w:r>
            <w:r>
              <w:rPr>
                <w:rFonts w:ascii="Times New Roman" w:hAnsi="Times New Roman" w:eastAsia="宋体" w:cs="Times New Roman"/>
                <w:sz w:val="16"/>
                <w:szCs w:val="16"/>
              </w:rPr>
              <w:t>）</w:t>
            </w:r>
          </w:p>
        </w:tc>
        <w:tc>
          <w:tcPr>
            <w:tcW w:w="0" w:type="auto"/>
            <w:vAlign w:val="center"/>
          </w:tcPr>
          <w:p w14:paraId="452D2F5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347.50 </w:t>
            </w:r>
          </w:p>
        </w:tc>
        <w:tc>
          <w:tcPr>
            <w:tcW w:w="0" w:type="auto"/>
            <w:vAlign w:val="center"/>
          </w:tcPr>
          <w:p w14:paraId="5C478E4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114.75 </w:t>
            </w:r>
          </w:p>
        </w:tc>
        <w:tc>
          <w:tcPr>
            <w:tcW w:w="0" w:type="auto"/>
            <w:vAlign w:val="center"/>
          </w:tcPr>
          <w:p w14:paraId="30E31A5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lang w:val="en-US" w:eastAsia="zh-CN"/>
              </w:rPr>
            </w:pPr>
            <w:r>
              <w:rPr>
                <w:rFonts w:hint="default" w:ascii="Times New Roman" w:hAnsi="Times New Roman" w:eastAsia="等线" w:cs="Times New Roman"/>
                <w:i w:val="0"/>
                <w:iCs w:val="0"/>
                <w:color w:val="000000"/>
                <w:kern w:val="0"/>
                <w:sz w:val="16"/>
                <w:szCs w:val="16"/>
                <w:u w:val="none"/>
                <w:lang w:val="en-US" w:eastAsia="zh-CN" w:bidi="ar"/>
              </w:rPr>
              <w:t xml:space="preserve">112.90 </w:t>
            </w:r>
          </w:p>
        </w:tc>
        <w:tc>
          <w:tcPr>
            <w:tcW w:w="0" w:type="auto"/>
            <w:vAlign w:val="center"/>
          </w:tcPr>
          <w:p w14:paraId="23DD40D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370.69 </w:t>
            </w:r>
          </w:p>
        </w:tc>
        <w:tc>
          <w:tcPr>
            <w:tcW w:w="0" w:type="auto"/>
            <w:vAlign w:val="center"/>
          </w:tcPr>
          <w:p w14:paraId="759A436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54.15 </w:t>
            </w:r>
          </w:p>
        </w:tc>
        <w:tc>
          <w:tcPr>
            <w:tcW w:w="0" w:type="auto"/>
            <w:vAlign w:val="center"/>
          </w:tcPr>
          <w:p w14:paraId="1533A77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18.02 </w:t>
            </w:r>
          </w:p>
        </w:tc>
        <w:tc>
          <w:tcPr>
            <w:tcW w:w="618" w:type="dxa"/>
            <w:vAlign w:val="center"/>
          </w:tcPr>
          <w:p w14:paraId="0DE01A5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5.95 </w:t>
            </w:r>
          </w:p>
        </w:tc>
        <w:tc>
          <w:tcPr>
            <w:tcW w:w="663" w:type="dxa"/>
            <w:vAlign w:val="center"/>
          </w:tcPr>
          <w:p w14:paraId="4B8A4D0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5.85 </w:t>
            </w:r>
          </w:p>
        </w:tc>
        <w:tc>
          <w:tcPr>
            <w:tcW w:w="700" w:type="dxa"/>
            <w:vAlign w:val="center"/>
          </w:tcPr>
          <w:p w14:paraId="2B59F48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19.22 </w:t>
            </w:r>
          </w:p>
        </w:tc>
        <w:tc>
          <w:tcPr>
            <w:tcW w:w="763" w:type="dxa"/>
            <w:vAlign w:val="center"/>
          </w:tcPr>
          <w:p w14:paraId="4307691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lang w:val="en-US" w:eastAsia="zh-CN"/>
              </w:rPr>
            </w:pPr>
            <w:r>
              <w:rPr>
                <w:rFonts w:hint="default" w:ascii="Times New Roman" w:hAnsi="Times New Roman" w:eastAsia="等线" w:cs="Times New Roman"/>
                <w:i w:val="0"/>
                <w:iCs w:val="0"/>
                <w:color w:val="000000"/>
                <w:kern w:val="0"/>
                <w:sz w:val="16"/>
                <w:szCs w:val="16"/>
                <w:u w:val="none"/>
                <w:lang w:val="en-US" w:eastAsia="zh-CN" w:bidi="ar"/>
              </w:rPr>
              <w:t xml:space="preserve">2.81 </w:t>
            </w:r>
          </w:p>
        </w:tc>
        <w:tc>
          <w:tcPr>
            <w:tcW w:w="1172" w:type="dxa"/>
            <w:vAlign w:val="center"/>
          </w:tcPr>
          <w:p w14:paraId="055A881F">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6"/>
                <w:szCs w:val="16"/>
                <w:u w:val="none"/>
                <w:lang w:val="en-US" w:eastAsia="zh-CN" w:bidi="ar"/>
              </w:rPr>
            </w:pPr>
            <w:r>
              <w:rPr>
                <w:rFonts w:hint="eastAsia" w:ascii="Times New Roman" w:hAnsi="Times New Roman" w:eastAsia="等线" w:cs="Times New Roman"/>
                <w:i w:val="0"/>
                <w:iCs w:val="0"/>
                <w:color w:val="000000"/>
                <w:kern w:val="0"/>
                <w:sz w:val="16"/>
                <w:szCs w:val="16"/>
                <w:u w:val="none"/>
                <w:lang w:val="en-US" w:eastAsia="zh-CN" w:bidi="ar"/>
              </w:rPr>
              <w:t xml:space="preserve">51.85 </w:t>
            </w:r>
          </w:p>
        </w:tc>
      </w:tr>
      <w:tr w14:paraId="3C584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vAlign w:val="top"/>
          </w:tcPr>
          <w:p w14:paraId="26CBEFEB">
            <w:pPr>
              <w:keepLines w:val="0"/>
              <w:pageBreakBefore w:val="0"/>
              <w:wordWrap/>
              <w:overflowPunct/>
              <w:topLinePunct w:val="0"/>
              <w:bidi w:val="0"/>
              <w:spacing w:line="360" w:lineRule="auto"/>
              <w:rPr>
                <w:rFonts w:hint="eastAsia" w:ascii="Times New Roman" w:hAnsi="Times New Roman" w:eastAsia="宋体" w:cs="Times New Roman"/>
                <w:kern w:val="2"/>
                <w:sz w:val="16"/>
                <w:szCs w:val="16"/>
                <w:lang w:val="en-US" w:eastAsia="zh-CN" w:bidi="ar-SA"/>
              </w:rPr>
            </w:pPr>
            <w:r>
              <w:rPr>
                <w:rFonts w:ascii="Times New Roman" w:hAnsi="Times New Roman" w:eastAsia="宋体" w:cs="Times New Roman"/>
                <w:sz w:val="16"/>
                <w:szCs w:val="16"/>
              </w:rPr>
              <w:t>（</w:t>
            </w:r>
            <w:r>
              <w:rPr>
                <w:rFonts w:hint="eastAsia" w:ascii="Times New Roman" w:hAnsi="Times New Roman" w:eastAsia="宋体" w:cs="Times New Roman"/>
                <w:sz w:val="16"/>
                <w:szCs w:val="16"/>
                <w:lang w:val="en-US" w:eastAsia="zh-CN"/>
              </w:rPr>
              <w:t>20</w:t>
            </w:r>
            <w:r>
              <w:rPr>
                <w:rFonts w:ascii="Times New Roman" w:hAnsi="Times New Roman" w:eastAsia="宋体" w:cs="Times New Roman"/>
                <w:sz w:val="16"/>
                <w:szCs w:val="16"/>
              </w:rPr>
              <w:t>）</w:t>
            </w:r>
          </w:p>
        </w:tc>
        <w:tc>
          <w:tcPr>
            <w:tcW w:w="0" w:type="auto"/>
            <w:vAlign w:val="center"/>
          </w:tcPr>
          <w:p w14:paraId="21C3C17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565.20 </w:t>
            </w:r>
          </w:p>
        </w:tc>
        <w:tc>
          <w:tcPr>
            <w:tcW w:w="0" w:type="auto"/>
            <w:vAlign w:val="center"/>
          </w:tcPr>
          <w:p w14:paraId="160F4AD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163.93 </w:t>
            </w:r>
          </w:p>
        </w:tc>
        <w:tc>
          <w:tcPr>
            <w:tcW w:w="0" w:type="auto"/>
            <w:vAlign w:val="center"/>
          </w:tcPr>
          <w:p w14:paraId="6BE9B62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lang w:val="en-US" w:eastAsia="zh-CN"/>
              </w:rPr>
            </w:pPr>
            <w:r>
              <w:rPr>
                <w:rFonts w:hint="default" w:ascii="Times New Roman" w:hAnsi="Times New Roman" w:eastAsia="等线" w:cs="Times New Roman"/>
                <w:i w:val="0"/>
                <w:iCs w:val="0"/>
                <w:color w:val="000000"/>
                <w:kern w:val="0"/>
                <w:sz w:val="16"/>
                <w:szCs w:val="16"/>
                <w:u w:val="none"/>
                <w:lang w:val="en-US" w:eastAsia="zh-CN" w:bidi="ar"/>
              </w:rPr>
              <w:t xml:space="preserve">193.55 </w:t>
            </w:r>
          </w:p>
        </w:tc>
        <w:tc>
          <w:tcPr>
            <w:tcW w:w="0" w:type="auto"/>
            <w:vAlign w:val="center"/>
          </w:tcPr>
          <w:p w14:paraId="79D8103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0.00 </w:t>
            </w:r>
          </w:p>
        </w:tc>
        <w:tc>
          <w:tcPr>
            <w:tcW w:w="0" w:type="auto"/>
            <w:vAlign w:val="center"/>
          </w:tcPr>
          <w:p w14:paraId="24B484E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77.32 </w:t>
            </w:r>
          </w:p>
        </w:tc>
        <w:tc>
          <w:tcPr>
            <w:tcW w:w="0" w:type="auto"/>
            <w:vAlign w:val="center"/>
          </w:tcPr>
          <w:p w14:paraId="392F41E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30.43 </w:t>
            </w:r>
          </w:p>
        </w:tc>
        <w:tc>
          <w:tcPr>
            <w:tcW w:w="618" w:type="dxa"/>
            <w:vAlign w:val="center"/>
          </w:tcPr>
          <w:p w14:paraId="3903E46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8.83 </w:t>
            </w:r>
          </w:p>
        </w:tc>
        <w:tc>
          <w:tcPr>
            <w:tcW w:w="663" w:type="dxa"/>
            <w:vAlign w:val="center"/>
          </w:tcPr>
          <w:p w14:paraId="428F0F7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10.42 </w:t>
            </w:r>
          </w:p>
        </w:tc>
        <w:tc>
          <w:tcPr>
            <w:tcW w:w="700" w:type="dxa"/>
            <w:vAlign w:val="center"/>
          </w:tcPr>
          <w:p w14:paraId="48AFEFD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r>
              <w:rPr>
                <w:rFonts w:hint="default" w:ascii="Times New Roman" w:hAnsi="Times New Roman" w:eastAsia="等线" w:cs="Times New Roman"/>
                <w:i w:val="0"/>
                <w:iCs w:val="0"/>
                <w:color w:val="000000"/>
                <w:kern w:val="0"/>
                <w:sz w:val="16"/>
                <w:szCs w:val="16"/>
                <w:u w:val="none"/>
                <w:lang w:val="en-US" w:eastAsia="zh-CN" w:bidi="ar"/>
              </w:rPr>
              <w:t xml:space="preserve">0.00 </w:t>
            </w:r>
          </w:p>
        </w:tc>
        <w:tc>
          <w:tcPr>
            <w:tcW w:w="763" w:type="dxa"/>
            <w:vAlign w:val="center"/>
          </w:tcPr>
          <w:p w14:paraId="17FAAD2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lang w:val="en-US" w:eastAsia="zh-CN"/>
              </w:rPr>
            </w:pPr>
            <w:r>
              <w:rPr>
                <w:rFonts w:hint="default" w:ascii="Times New Roman" w:hAnsi="Times New Roman" w:eastAsia="等线" w:cs="Times New Roman"/>
                <w:i w:val="0"/>
                <w:iCs w:val="0"/>
                <w:color w:val="000000"/>
                <w:kern w:val="0"/>
                <w:sz w:val="16"/>
                <w:szCs w:val="16"/>
                <w:u w:val="none"/>
                <w:lang w:val="en-US" w:eastAsia="zh-CN" w:bidi="ar"/>
              </w:rPr>
              <w:t xml:space="preserve">4.16 </w:t>
            </w:r>
          </w:p>
        </w:tc>
        <w:tc>
          <w:tcPr>
            <w:tcW w:w="1172" w:type="dxa"/>
            <w:vAlign w:val="center"/>
          </w:tcPr>
          <w:p w14:paraId="1BD92081">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6"/>
                <w:szCs w:val="16"/>
                <w:u w:val="none"/>
                <w:lang w:val="en-US" w:eastAsia="zh-CN" w:bidi="ar"/>
              </w:rPr>
            </w:pPr>
            <w:r>
              <w:rPr>
                <w:rFonts w:hint="eastAsia" w:ascii="Times New Roman" w:hAnsi="Times New Roman" w:eastAsia="等线" w:cs="Times New Roman"/>
                <w:i w:val="0"/>
                <w:iCs w:val="0"/>
                <w:color w:val="000000"/>
                <w:kern w:val="0"/>
                <w:sz w:val="16"/>
                <w:szCs w:val="16"/>
                <w:u w:val="none"/>
                <w:lang w:val="en-US" w:eastAsia="zh-CN" w:bidi="ar"/>
              </w:rPr>
              <w:t xml:space="preserve">53.85 </w:t>
            </w:r>
          </w:p>
        </w:tc>
      </w:tr>
      <w:tr w14:paraId="701C4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vAlign w:val="top"/>
          </w:tcPr>
          <w:p w14:paraId="53186606">
            <w:pPr>
              <w:keepLines w:val="0"/>
              <w:pageBreakBefore w:val="0"/>
              <w:wordWrap/>
              <w:overflowPunct/>
              <w:topLinePunct w:val="0"/>
              <w:bidi w:val="0"/>
              <w:spacing w:line="360" w:lineRule="auto"/>
              <w:rPr>
                <w:rFonts w:hint="eastAsia" w:ascii="Times New Roman" w:hAnsi="Times New Roman" w:eastAsia="宋体" w:cs="Times New Roman"/>
                <w:kern w:val="2"/>
                <w:sz w:val="16"/>
                <w:szCs w:val="16"/>
                <w:lang w:val="en-US" w:eastAsia="zh-CN" w:bidi="ar-SA"/>
              </w:rPr>
            </w:pPr>
            <w:r>
              <w:rPr>
                <w:rFonts w:hint="eastAsia" w:ascii="Times New Roman" w:hAnsi="Times New Roman" w:eastAsia="宋体" w:cs="Times New Roman"/>
                <w:sz w:val="16"/>
                <w:szCs w:val="16"/>
              </w:rPr>
              <w:t>（</w:t>
            </w:r>
            <w:r>
              <w:rPr>
                <w:rFonts w:hint="eastAsia" w:ascii="Times New Roman" w:hAnsi="Times New Roman" w:eastAsia="宋体" w:cs="Times New Roman"/>
                <w:sz w:val="16"/>
                <w:szCs w:val="16"/>
                <w:lang w:val="en-US" w:eastAsia="zh-CN"/>
              </w:rPr>
              <w:t>21</w:t>
            </w:r>
            <w:r>
              <w:rPr>
                <w:rFonts w:hint="eastAsia" w:ascii="Times New Roman" w:hAnsi="Times New Roman" w:eastAsia="宋体" w:cs="Times New Roman"/>
                <w:sz w:val="16"/>
                <w:szCs w:val="16"/>
              </w:rPr>
              <w:t>）</w:t>
            </w:r>
          </w:p>
        </w:tc>
        <w:tc>
          <w:tcPr>
            <w:tcW w:w="0" w:type="auto"/>
            <w:vAlign w:val="center"/>
          </w:tcPr>
          <w:p w14:paraId="05537F7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1000</w:t>
            </w:r>
          </w:p>
        </w:tc>
        <w:tc>
          <w:tcPr>
            <w:tcW w:w="0" w:type="auto"/>
            <w:vAlign w:val="center"/>
          </w:tcPr>
          <w:p w14:paraId="11A5CD1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p>
        </w:tc>
        <w:tc>
          <w:tcPr>
            <w:tcW w:w="0" w:type="auto"/>
            <w:vAlign w:val="center"/>
          </w:tcPr>
          <w:p w14:paraId="6BDD4AA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lang w:val="en-US" w:eastAsia="zh-CN"/>
              </w:rPr>
            </w:pPr>
          </w:p>
        </w:tc>
        <w:tc>
          <w:tcPr>
            <w:tcW w:w="0" w:type="auto"/>
            <w:vAlign w:val="center"/>
          </w:tcPr>
          <w:p w14:paraId="044A0BB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p>
        </w:tc>
        <w:tc>
          <w:tcPr>
            <w:tcW w:w="0" w:type="auto"/>
            <w:vAlign w:val="center"/>
          </w:tcPr>
          <w:p w14:paraId="184C010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p>
        </w:tc>
        <w:tc>
          <w:tcPr>
            <w:tcW w:w="0" w:type="auto"/>
            <w:vAlign w:val="center"/>
          </w:tcPr>
          <w:p w14:paraId="5F0839F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30</w:t>
            </w:r>
          </w:p>
        </w:tc>
        <w:tc>
          <w:tcPr>
            <w:tcW w:w="618" w:type="dxa"/>
            <w:vAlign w:val="center"/>
          </w:tcPr>
          <w:p w14:paraId="7561210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p>
        </w:tc>
        <w:tc>
          <w:tcPr>
            <w:tcW w:w="663" w:type="dxa"/>
            <w:vAlign w:val="center"/>
          </w:tcPr>
          <w:p w14:paraId="51134E4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p>
        </w:tc>
        <w:tc>
          <w:tcPr>
            <w:tcW w:w="700" w:type="dxa"/>
            <w:vAlign w:val="center"/>
          </w:tcPr>
          <w:p w14:paraId="7DFC318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p>
        </w:tc>
        <w:tc>
          <w:tcPr>
            <w:tcW w:w="763" w:type="dxa"/>
            <w:vAlign w:val="center"/>
          </w:tcPr>
          <w:p w14:paraId="0CC4676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lang w:val="en-US" w:eastAsia="zh-CN"/>
              </w:rPr>
            </w:pPr>
          </w:p>
        </w:tc>
        <w:tc>
          <w:tcPr>
            <w:tcW w:w="1172" w:type="dxa"/>
            <w:vAlign w:val="center"/>
          </w:tcPr>
          <w:p w14:paraId="5F4F51C6">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6"/>
                <w:szCs w:val="16"/>
                <w:u w:val="none"/>
                <w:lang w:val="en-US" w:eastAsia="zh-CN" w:bidi="ar"/>
              </w:rPr>
            </w:pPr>
            <w:r>
              <w:rPr>
                <w:rFonts w:hint="eastAsia" w:ascii="Times New Roman" w:hAnsi="Times New Roman" w:eastAsia="等线" w:cs="Times New Roman"/>
                <w:i w:val="0"/>
                <w:iCs w:val="0"/>
                <w:color w:val="000000"/>
                <w:kern w:val="0"/>
                <w:sz w:val="16"/>
                <w:szCs w:val="16"/>
                <w:u w:val="none"/>
                <w:lang w:val="en-US" w:eastAsia="zh-CN" w:bidi="ar"/>
              </w:rPr>
              <w:t xml:space="preserve">30 </w:t>
            </w:r>
          </w:p>
        </w:tc>
      </w:tr>
      <w:tr w14:paraId="7F25C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vAlign w:val="top"/>
          </w:tcPr>
          <w:p w14:paraId="30E96E0E">
            <w:pPr>
              <w:keepLines w:val="0"/>
              <w:pageBreakBefore w:val="0"/>
              <w:wordWrap/>
              <w:overflowPunct/>
              <w:topLinePunct w:val="0"/>
              <w:bidi w:val="0"/>
              <w:spacing w:line="360" w:lineRule="auto"/>
              <w:rPr>
                <w:rFonts w:hint="eastAsia" w:ascii="Times New Roman" w:hAnsi="Times New Roman" w:eastAsia="宋体" w:cs="Times New Roman"/>
                <w:kern w:val="2"/>
                <w:sz w:val="16"/>
                <w:szCs w:val="16"/>
                <w:lang w:val="en-US" w:eastAsia="zh-CN" w:bidi="ar-SA"/>
              </w:rPr>
            </w:pPr>
            <w:r>
              <w:rPr>
                <w:rFonts w:hint="eastAsia" w:ascii="Times New Roman" w:hAnsi="Times New Roman" w:eastAsia="宋体" w:cs="Times New Roman"/>
                <w:sz w:val="16"/>
                <w:szCs w:val="16"/>
              </w:rPr>
              <w:t>（</w:t>
            </w:r>
            <w:r>
              <w:rPr>
                <w:rFonts w:hint="eastAsia" w:ascii="Times New Roman" w:hAnsi="Times New Roman" w:eastAsia="宋体" w:cs="Times New Roman"/>
                <w:sz w:val="16"/>
                <w:szCs w:val="16"/>
                <w:lang w:val="en-US" w:eastAsia="zh-CN"/>
              </w:rPr>
              <w:t>22</w:t>
            </w:r>
            <w:r>
              <w:rPr>
                <w:rFonts w:hint="eastAsia" w:ascii="Times New Roman" w:hAnsi="Times New Roman" w:eastAsia="宋体" w:cs="Times New Roman"/>
                <w:sz w:val="16"/>
                <w:szCs w:val="16"/>
              </w:rPr>
              <w:t>）</w:t>
            </w:r>
          </w:p>
        </w:tc>
        <w:tc>
          <w:tcPr>
            <w:tcW w:w="0" w:type="auto"/>
            <w:vAlign w:val="center"/>
          </w:tcPr>
          <w:p w14:paraId="3BCECE8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1000</w:t>
            </w:r>
          </w:p>
        </w:tc>
        <w:tc>
          <w:tcPr>
            <w:tcW w:w="0" w:type="auto"/>
            <w:vAlign w:val="center"/>
          </w:tcPr>
          <w:p w14:paraId="53D3187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p>
        </w:tc>
        <w:tc>
          <w:tcPr>
            <w:tcW w:w="0" w:type="auto"/>
            <w:vAlign w:val="center"/>
          </w:tcPr>
          <w:p w14:paraId="75BBBA1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lang w:val="en-US" w:eastAsia="zh-CN"/>
              </w:rPr>
            </w:pPr>
          </w:p>
        </w:tc>
        <w:tc>
          <w:tcPr>
            <w:tcW w:w="0" w:type="auto"/>
            <w:vAlign w:val="center"/>
          </w:tcPr>
          <w:p w14:paraId="192E4A9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p>
        </w:tc>
        <w:tc>
          <w:tcPr>
            <w:tcW w:w="0" w:type="auto"/>
            <w:vAlign w:val="center"/>
          </w:tcPr>
          <w:p w14:paraId="58DDCE2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p>
        </w:tc>
        <w:tc>
          <w:tcPr>
            <w:tcW w:w="0" w:type="auto"/>
            <w:vAlign w:val="center"/>
          </w:tcPr>
          <w:p w14:paraId="35369EC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30</w:t>
            </w:r>
          </w:p>
        </w:tc>
        <w:tc>
          <w:tcPr>
            <w:tcW w:w="618" w:type="dxa"/>
            <w:vAlign w:val="center"/>
          </w:tcPr>
          <w:p w14:paraId="3286C21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p>
        </w:tc>
        <w:tc>
          <w:tcPr>
            <w:tcW w:w="663" w:type="dxa"/>
            <w:vAlign w:val="center"/>
          </w:tcPr>
          <w:p w14:paraId="4D1E4DF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p>
        </w:tc>
        <w:tc>
          <w:tcPr>
            <w:tcW w:w="700" w:type="dxa"/>
            <w:vAlign w:val="center"/>
          </w:tcPr>
          <w:p w14:paraId="689A571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rPr>
            </w:pPr>
          </w:p>
        </w:tc>
        <w:tc>
          <w:tcPr>
            <w:tcW w:w="763" w:type="dxa"/>
            <w:vAlign w:val="center"/>
          </w:tcPr>
          <w:p w14:paraId="1260EC4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5"/>
                <w:szCs w:val="15"/>
                <w:lang w:val="en-US" w:eastAsia="zh-CN"/>
              </w:rPr>
            </w:pPr>
          </w:p>
        </w:tc>
        <w:tc>
          <w:tcPr>
            <w:tcW w:w="1172" w:type="dxa"/>
            <w:vAlign w:val="center"/>
          </w:tcPr>
          <w:p w14:paraId="7B6A4BD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等线" w:cs="Times New Roman"/>
                <w:i w:val="0"/>
                <w:iCs w:val="0"/>
                <w:color w:val="000000"/>
                <w:kern w:val="0"/>
                <w:sz w:val="16"/>
                <w:szCs w:val="16"/>
                <w:u w:val="none"/>
                <w:lang w:val="en-US" w:eastAsia="zh-CN" w:bidi="ar"/>
              </w:rPr>
            </w:pPr>
            <w:r>
              <w:rPr>
                <w:rFonts w:hint="eastAsia" w:ascii="Times New Roman" w:hAnsi="Times New Roman" w:eastAsia="等线" w:cs="Times New Roman"/>
                <w:i w:val="0"/>
                <w:iCs w:val="0"/>
                <w:color w:val="000000"/>
                <w:kern w:val="0"/>
                <w:sz w:val="16"/>
                <w:szCs w:val="16"/>
                <w:u w:val="none"/>
                <w:lang w:val="en-US" w:eastAsia="zh-CN" w:bidi="ar"/>
              </w:rPr>
              <w:t>30</w:t>
            </w:r>
          </w:p>
        </w:tc>
      </w:tr>
    </w:tbl>
    <w:p w14:paraId="3096F65F">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后续测定步骤同1.1.3.1。</w:t>
      </w:r>
    </w:p>
    <w:p w14:paraId="030A7470">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2.2 测试结果</w:t>
      </w:r>
    </w:p>
    <w:p w14:paraId="36693C7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由表5可知，收集的22个肥料样品中，只有6个样品展现出了明显的土壤硝化潜势抑制差异率，表明该套检测方法在检测企业生产的稳定性肥料硝化潜势差异率时存在一定问题，因此开展测试步骤和参数的优化。</w:t>
      </w:r>
    </w:p>
    <w:p w14:paraId="67F59EE1">
      <w:pPr>
        <w:keepLines w:val="0"/>
        <w:pageBreakBefore w:val="0"/>
        <w:wordWrap/>
        <w:overflowPunct/>
        <w:topLinePunct w:val="0"/>
        <w:bidi w:val="0"/>
        <w:spacing w:line="360" w:lineRule="auto"/>
        <w:ind w:firstLine="422" w:firstLineChars="200"/>
        <w:jc w:val="center"/>
        <w:rPr>
          <w:rFonts w:hint="default" w:ascii="Times New Roman" w:hAnsi="Times New Roman" w:eastAsia="宋体" w:cs="Times New Roman"/>
          <w:b/>
          <w:bCs/>
          <w:szCs w:val="21"/>
          <w:lang w:val="en-US" w:eastAsia="zh-CN"/>
        </w:rPr>
      </w:pPr>
      <w:r>
        <w:rPr>
          <w:rFonts w:hint="eastAsia" w:ascii="Times New Roman" w:hAnsi="Times New Roman" w:eastAsia="宋体" w:cs="Times New Roman"/>
          <w:b/>
          <w:bCs/>
          <w:szCs w:val="21"/>
          <w:lang w:val="en-US" w:eastAsia="zh-CN"/>
        </w:rPr>
        <w:t>表5  22个稳定性肥料的</w:t>
      </w:r>
      <w:r>
        <w:rPr>
          <w:rFonts w:hint="eastAsia" w:ascii="Times New Roman" w:hAnsi="Times New Roman" w:eastAsia="宋体" w:cs="Times New Roman"/>
          <w:b/>
          <w:szCs w:val="21"/>
          <w:lang w:val="en-US" w:eastAsia="zh-CN"/>
        </w:rPr>
        <w:t>土壤硝化潜势差异率（RNP）</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6"/>
        <w:gridCol w:w="3554"/>
        <w:gridCol w:w="1822"/>
        <w:gridCol w:w="1737"/>
      </w:tblGrid>
      <w:tr w14:paraId="69088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25" w:type="pct"/>
          </w:tcPr>
          <w:p w14:paraId="455C0656">
            <w:pPr>
              <w:keepLines w:val="0"/>
              <w:pageBreakBefore w:val="0"/>
              <w:wordWrap/>
              <w:overflowPunct/>
              <w:topLinePunct w:val="0"/>
              <w:bidi w:val="0"/>
              <w:spacing w:line="360" w:lineRule="auto"/>
              <w:rPr>
                <w:rFonts w:ascii="Times New Roman" w:hAnsi="Times New Roman" w:eastAsia="宋体" w:cs="Times New Roman"/>
                <w:szCs w:val="21"/>
              </w:rPr>
            </w:pPr>
          </w:p>
        </w:tc>
        <w:tc>
          <w:tcPr>
            <w:tcW w:w="2085" w:type="pct"/>
            <w:vAlign w:val="center"/>
          </w:tcPr>
          <w:p w14:paraId="7514F75A">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b/>
                <w:bCs/>
                <w:sz w:val="18"/>
                <w:szCs w:val="18"/>
              </w:rPr>
            </w:pPr>
            <w:r>
              <w:rPr>
                <w:rStyle w:val="14"/>
                <w:lang w:val="en-US" w:eastAsia="zh-CN" w:bidi="ar"/>
              </w:rPr>
              <w:t>厂家</w:t>
            </w:r>
          </w:p>
        </w:tc>
        <w:tc>
          <w:tcPr>
            <w:tcW w:w="1069" w:type="pct"/>
            <w:vAlign w:val="center"/>
          </w:tcPr>
          <w:p w14:paraId="54F3A4AF">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b/>
                <w:bCs/>
                <w:sz w:val="18"/>
                <w:szCs w:val="18"/>
                <w:lang w:val="en-US" w:eastAsia="zh-CN"/>
              </w:rPr>
            </w:pPr>
            <w:r>
              <w:rPr>
                <w:rStyle w:val="14"/>
                <w:lang w:val="en-US" w:eastAsia="zh-CN" w:bidi="ar"/>
              </w:rPr>
              <w:t>配方</w:t>
            </w:r>
          </w:p>
        </w:tc>
        <w:tc>
          <w:tcPr>
            <w:tcW w:w="1019" w:type="pct"/>
            <w:shd w:val="clear" w:color="auto" w:fill="auto"/>
            <w:vAlign w:val="top"/>
          </w:tcPr>
          <w:p w14:paraId="0A8D58C1">
            <w:pPr>
              <w:keepLines w:val="0"/>
              <w:pageBreakBefore w:val="0"/>
              <w:wordWrap/>
              <w:overflowPunct/>
              <w:topLinePunct w:val="0"/>
              <w:bidi w:val="0"/>
              <w:spacing w:line="360" w:lineRule="auto"/>
              <w:rPr>
                <w:rFonts w:hint="eastAsia" w:ascii="Times New Roman" w:hAnsi="Times New Roman" w:eastAsia="宋体" w:cs="Times New Roman"/>
                <w:b/>
                <w:bCs/>
                <w:kern w:val="2"/>
                <w:sz w:val="18"/>
                <w:szCs w:val="18"/>
                <w:lang w:val="en-US" w:eastAsia="zh-CN" w:bidi="ar-SA"/>
              </w:rPr>
            </w:pPr>
            <w:r>
              <w:rPr>
                <w:rFonts w:hint="eastAsia" w:ascii="Times New Roman" w:hAnsi="Times New Roman" w:eastAsia="宋体" w:cs="Times New Roman"/>
                <w:b/>
                <w:bCs/>
                <w:sz w:val="18"/>
                <w:szCs w:val="18"/>
                <w:lang w:val="en-US" w:eastAsia="zh-CN"/>
              </w:rPr>
              <w:t>RNP%</w:t>
            </w:r>
          </w:p>
        </w:tc>
      </w:tr>
      <w:tr w14:paraId="2AAC1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pct"/>
          </w:tcPr>
          <w:p w14:paraId="0271C1E0">
            <w:pPr>
              <w:keepLines w:val="0"/>
              <w:pageBreakBefore w:val="0"/>
              <w:wordWrap/>
              <w:overflowPunct/>
              <w:topLinePunct w:val="0"/>
              <w:bidi w:val="0"/>
              <w:spacing w:line="360" w:lineRule="auto"/>
              <w:rPr>
                <w:rFonts w:ascii="Times New Roman" w:hAnsi="Times New Roman" w:eastAsia="宋体" w:cs="Times New Roman"/>
                <w:szCs w:val="21"/>
              </w:rPr>
            </w:pPr>
            <w:r>
              <w:rPr>
                <w:rFonts w:ascii="Times New Roman" w:hAnsi="Times New Roman" w:eastAsia="宋体" w:cs="Times New Roman"/>
                <w:szCs w:val="21"/>
              </w:rPr>
              <w:t>（1）</w:t>
            </w:r>
          </w:p>
        </w:tc>
        <w:tc>
          <w:tcPr>
            <w:tcW w:w="2085" w:type="pct"/>
            <w:vAlign w:val="center"/>
          </w:tcPr>
          <w:p w14:paraId="54C03F82">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蓝天宝丰</w:t>
            </w:r>
          </w:p>
        </w:tc>
        <w:tc>
          <w:tcPr>
            <w:tcW w:w="1069" w:type="pct"/>
            <w:vAlign w:val="center"/>
          </w:tcPr>
          <w:p w14:paraId="0FC5DE00">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20-0-5</w:t>
            </w:r>
          </w:p>
        </w:tc>
        <w:tc>
          <w:tcPr>
            <w:tcW w:w="1019" w:type="pct"/>
            <w:vAlign w:val="center"/>
          </w:tcPr>
          <w:p w14:paraId="47D7D5C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等线" w:hAnsi="等线" w:eastAsia="等线" w:cs="等线"/>
                <w:i w:val="0"/>
                <w:iCs w:val="0"/>
                <w:color w:val="000000"/>
                <w:kern w:val="0"/>
                <w:sz w:val="22"/>
                <w:szCs w:val="22"/>
                <w:u w:val="none"/>
                <w:lang w:val="en-US" w:eastAsia="zh-CN" w:bidi="ar"/>
              </w:rPr>
              <w:t xml:space="preserve">7.69 </w:t>
            </w:r>
          </w:p>
        </w:tc>
      </w:tr>
      <w:tr w14:paraId="26849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pct"/>
          </w:tcPr>
          <w:p w14:paraId="064BD432">
            <w:pPr>
              <w:keepLines w:val="0"/>
              <w:pageBreakBefore w:val="0"/>
              <w:wordWrap/>
              <w:overflowPunct/>
              <w:topLinePunct w:val="0"/>
              <w:bidi w:val="0"/>
              <w:spacing w:line="360" w:lineRule="auto"/>
              <w:rPr>
                <w:rFonts w:ascii="Times New Roman" w:hAnsi="Times New Roman" w:eastAsia="宋体" w:cs="Times New Roman"/>
                <w:szCs w:val="21"/>
              </w:rPr>
            </w:pPr>
            <w:r>
              <w:rPr>
                <w:rFonts w:ascii="Times New Roman" w:hAnsi="Times New Roman" w:eastAsia="宋体" w:cs="Times New Roman"/>
                <w:szCs w:val="21"/>
              </w:rPr>
              <w:t>（2）</w:t>
            </w:r>
          </w:p>
        </w:tc>
        <w:tc>
          <w:tcPr>
            <w:tcW w:w="2085" w:type="pct"/>
            <w:vAlign w:val="center"/>
          </w:tcPr>
          <w:p w14:paraId="7FC560E2">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蓝天宝丰</w:t>
            </w:r>
          </w:p>
        </w:tc>
        <w:tc>
          <w:tcPr>
            <w:tcW w:w="1069" w:type="pct"/>
            <w:vAlign w:val="center"/>
          </w:tcPr>
          <w:p w14:paraId="20CD62C5">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20-5-7</w:t>
            </w:r>
          </w:p>
        </w:tc>
        <w:tc>
          <w:tcPr>
            <w:tcW w:w="1019" w:type="pct"/>
            <w:vAlign w:val="center"/>
          </w:tcPr>
          <w:p w14:paraId="3B4187A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等线" w:hAnsi="等线" w:eastAsia="等线" w:cs="等线"/>
                <w:i w:val="0"/>
                <w:iCs w:val="0"/>
                <w:color w:val="000000"/>
                <w:kern w:val="0"/>
                <w:sz w:val="22"/>
                <w:szCs w:val="22"/>
                <w:u w:val="none"/>
                <w:lang w:val="en-US" w:eastAsia="zh-CN" w:bidi="ar"/>
              </w:rPr>
              <w:t xml:space="preserve">-6.92 </w:t>
            </w:r>
          </w:p>
        </w:tc>
      </w:tr>
      <w:tr w14:paraId="35E20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pct"/>
            <w:shd w:val="clear" w:color="auto" w:fill="auto"/>
            <w:vAlign w:val="top"/>
          </w:tcPr>
          <w:p w14:paraId="2EE57E0D">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（3）</w:t>
            </w:r>
          </w:p>
        </w:tc>
        <w:tc>
          <w:tcPr>
            <w:tcW w:w="2085" w:type="pct"/>
            <w:shd w:val="clear" w:color="auto" w:fill="auto"/>
            <w:vAlign w:val="center"/>
          </w:tcPr>
          <w:p w14:paraId="4BA09956">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4"/>
                <w:szCs w:val="24"/>
                <w:u w:val="none"/>
                <w:lang w:val="en-US" w:eastAsia="zh-CN" w:bidi="ar"/>
              </w:rPr>
              <w:t>蓝天宝丰</w:t>
            </w:r>
          </w:p>
        </w:tc>
        <w:tc>
          <w:tcPr>
            <w:tcW w:w="1069" w:type="pct"/>
            <w:vAlign w:val="center"/>
          </w:tcPr>
          <w:p w14:paraId="5204E84C">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24-6-10</w:t>
            </w:r>
          </w:p>
        </w:tc>
        <w:tc>
          <w:tcPr>
            <w:tcW w:w="1019" w:type="pct"/>
            <w:vAlign w:val="center"/>
          </w:tcPr>
          <w:p w14:paraId="2341074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等线" w:hAnsi="等线" w:eastAsia="等线" w:cs="等线"/>
                <w:i w:val="0"/>
                <w:iCs w:val="0"/>
                <w:color w:val="000000"/>
                <w:kern w:val="0"/>
                <w:sz w:val="22"/>
                <w:szCs w:val="22"/>
                <w:u w:val="none"/>
                <w:lang w:val="en-US" w:eastAsia="zh-CN" w:bidi="ar"/>
              </w:rPr>
              <w:t xml:space="preserve">1.40 </w:t>
            </w:r>
          </w:p>
        </w:tc>
      </w:tr>
      <w:tr w14:paraId="4C1C3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pct"/>
            <w:shd w:val="clear" w:color="auto" w:fill="auto"/>
            <w:vAlign w:val="top"/>
          </w:tcPr>
          <w:p w14:paraId="26C24276">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（4）</w:t>
            </w:r>
          </w:p>
        </w:tc>
        <w:tc>
          <w:tcPr>
            <w:tcW w:w="2085" w:type="pct"/>
            <w:shd w:val="clear" w:color="auto" w:fill="auto"/>
            <w:vAlign w:val="center"/>
          </w:tcPr>
          <w:p w14:paraId="168A18C3">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4"/>
                <w:szCs w:val="24"/>
                <w:u w:val="none"/>
                <w:lang w:val="en-US" w:eastAsia="zh-CN" w:bidi="ar"/>
              </w:rPr>
              <w:t>湖北诺维尔</w:t>
            </w:r>
          </w:p>
        </w:tc>
        <w:tc>
          <w:tcPr>
            <w:tcW w:w="1069" w:type="pct"/>
            <w:vAlign w:val="center"/>
          </w:tcPr>
          <w:p w14:paraId="141ABFC4">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szCs w:val="21"/>
                <w:lang w:val="en-US" w:eastAsia="zh-CN"/>
              </w:rPr>
            </w:pPr>
            <w:r>
              <w:rPr>
                <w:rFonts w:hint="default" w:ascii="Times New Roman" w:hAnsi="Times New Roman" w:eastAsia="宋体" w:cs="Times New Roman"/>
                <w:i w:val="0"/>
                <w:iCs w:val="0"/>
                <w:color w:val="000000"/>
                <w:kern w:val="0"/>
                <w:sz w:val="24"/>
                <w:szCs w:val="24"/>
                <w:u w:val="none"/>
                <w:lang w:val="en-US" w:eastAsia="zh-CN" w:bidi="ar"/>
              </w:rPr>
              <w:t>27-10-13</w:t>
            </w:r>
          </w:p>
        </w:tc>
        <w:tc>
          <w:tcPr>
            <w:tcW w:w="1019" w:type="pct"/>
            <w:vAlign w:val="center"/>
          </w:tcPr>
          <w:p w14:paraId="5869407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等线" w:hAnsi="等线" w:eastAsia="等线" w:cs="等线"/>
                <w:i w:val="0"/>
                <w:iCs w:val="0"/>
                <w:color w:val="000000"/>
                <w:kern w:val="0"/>
                <w:sz w:val="22"/>
                <w:szCs w:val="22"/>
                <w:u w:val="none"/>
                <w:lang w:val="en-US" w:eastAsia="zh-CN" w:bidi="ar"/>
              </w:rPr>
              <w:t xml:space="preserve">-3.62 </w:t>
            </w:r>
          </w:p>
        </w:tc>
      </w:tr>
      <w:tr w14:paraId="65583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pct"/>
            <w:shd w:val="clear" w:color="auto" w:fill="auto"/>
            <w:vAlign w:val="top"/>
          </w:tcPr>
          <w:p w14:paraId="0E5B86D8">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（5）</w:t>
            </w:r>
          </w:p>
        </w:tc>
        <w:tc>
          <w:tcPr>
            <w:tcW w:w="2085" w:type="pct"/>
            <w:vAlign w:val="center"/>
          </w:tcPr>
          <w:p w14:paraId="5E080219">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湖北诺维尔</w:t>
            </w:r>
          </w:p>
        </w:tc>
        <w:tc>
          <w:tcPr>
            <w:tcW w:w="1069" w:type="pct"/>
            <w:vAlign w:val="center"/>
          </w:tcPr>
          <w:p w14:paraId="274B1EA2">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szCs w:val="21"/>
                <w:lang w:val="en-US" w:eastAsia="zh-CN"/>
              </w:rPr>
            </w:pPr>
            <w:r>
              <w:rPr>
                <w:rFonts w:hint="default" w:ascii="Times New Roman" w:hAnsi="Times New Roman" w:eastAsia="宋体" w:cs="Times New Roman"/>
                <w:i w:val="0"/>
                <w:iCs w:val="0"/>
                <w:color w:val="000000"/>
                <w:kern w:val="0"/>
                <w:sz w:val="24"/>
                <w:szCs w:val="24"/>
                <w:u w:val="none"/>
                <w:lang w:val="en-US" w:eastAsia="zh-CN" w:bidi="ar"/>
              </w:rPr>
              <w:t>29-5-6</w:t>
            </w:r>
          </w:p>
        </w:tc>
        <w:tc>
          <w:tcPr>
            <w:tcW w:w="1019" w:type="pct"/>
            <w:vAlign w:val="center"/>
          </w:tcPr>
          <w:p w14:paraId="4386016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等线" w:hAnsi="等线" w:eastAsia="等线" w:cs="等线"/>
                <w:i w:val="0"/>
                <w:iCs w:val="0"/>
                <w:color w:val="000000"/>
                <w:kern w:val="0"/>
                <w:sz w:val="22"/>
                <w:szCs w:val="22"/>
                <w:u w:val="none"/>
                <w:lang w:val="en-US" w:eastAsia="zh-CN" w:bidi="ar"/>
              </w:rPr>
              <w:t xml:space="preserve">2.17 </w:t>
            </w:r>
          </w:p>
        </w:tc>
      </w:tr>
      <w:tr w14:paraId="65A19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pct"/>
            <w:shd w:val="clear" w:color="auto" w:fill="auto"/>
            <w:vAlign w:val="top"/>
          </w:tcPr>
          <w:p w14:paraId="7A9E8FDC">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（6）</w:t>
            </w:r>
          </w:p>
        </w:tc>
        <w:tc>
          <w:tcPr>
            <w:tcW w:w="2085" w:type="pct"/>
            <w:vAlign w:val="center"/>
          </w:tcPr>
          <w:p w14:paraId="79F960DD">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南宁九禾</w:t>
            </w:r>
          </w:p>
        </w:tc>
        <w:tc>
          <w:tcPr>
            <w:tcW w:w="1069" w:type="pct"/>
            <w:vAlign w:val="center"/>
          </w:tcPr>
          <w:p w14:paraId="3A831B18">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szCs w:val="21"/>
                <w:lang w:val="en-US" w:eastAsia="zh-CN"/>
              </w:rPr>
            </w:pPr>
            <w:r>
              <w:rPr>
                <w:rFonts w:hint="default" w:ascii="Times New Roman" w:hAnsi="Times New Roman" w:eastAsia="宋体" w:cs="Times New Roman"/>
                <w:i w:val="0"/>
                <w:iCs w:val="0"/>
                <w:color w:val="000000"/>
                <w:kern w:val="0"/>
                <w:sz w:val="24"/>
                <w:szCs w:val="24"/>
                <w:u w:val="none"/>
                <w:lang w:val="en-US" w:eastAsia="zh-CN" w:bidi="ar"/>
              </w:rPr>
              <w:t>20-5-15</w:t>
            </w:r>
          </w:p>
        </w:tc>
        <w:tc>
          <w:tcPr>
            <w:tcW w:w="1019" w:type="pct"/>
            <w:vAlign w:val="center"/>
          </w:tcPr>
          <w:p w14:paraId="1678BF9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等线" w:hAnsi="等线" w:eastAsia="等线" w:cs="等线"/>
                <w:i w:val="0"/>
                <w:iCs w:val="0"/>
                <w:color w:val="000000"/>
                <w:kern w:val="0"/>
                <w:sz w:val="22"/>
                <w:szCs w:val="22"/>
                <w:u w:val="none"/>
                <w:lang w:val="en-US" w:eastAsia="zh-CN" w:bidi="ar"/>
              </w:rPr>
              <w:t xml:space="preserve">25.00 </w:t>
            </w:r>
          </w:p>
        </w:tc>
      </w:tr>
      <w:tr w14:paraId="261A0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pct"/>
            <w:shd w:val="clear" w:color="auto" w:fill="auto"/>
            <w:vAlign w:val="top"/>
          </w:tcPr>
          <w:p w14:paraId="030EFDEB">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（7）</w:t>
            </w:r>
          </w:p>
        </w:tc>
        <w:tc>
          <w:tcPr>
            <w:tcW w:w="2085" w:type="pct"/>
            <w:vAlign w:val="center"/>
          </w:tcPr>
          <w:p w14:paraId="70A32519">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黑龙江爱农</w:t>
            </w:r>
          </w:p>
        </w:tc>
        <w:tc>
          <w:tcPr>
            <w:tcW w:w="1069" w:type="pct"/>
            <w:vAlign w:val="center"/>
          </w:tcPr>
          <w:p w14:paraId="458E367A">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24-10-12</w:t>
            </w:r>
          </w:p>
        </w:tc>
        <w:tc>
          <w:tcPr>
            <w:tcW w:w="1019" w:type="pct"/>
            <w:vAlign w:val="center"/>
          </w:tcPr>
          <w:p w14:paraId="2B8F07B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等线" w:hAnsi="等线" w:eastAsia="等线" w:cs="等线"/>
                <w:i w:val="0"/>
                <w:iCs w:val="0"/>
                <w:color w:val="000000"/>
                <w:kern w:val="0"/>
                <w:sz w:val="22"/>
                <w:szCs w:val="22"/>
                <w:u w:val="none"/>
                <w:lang w:val="en-US" w:eastAsia="zh-CN" w:bidi="ar"/>
              </w:rPr>
              <w:t xml:space="preserve">-8.73 </w:t>
            </w:r>
          </w:p>
        </w:tc>
      </w:tr>
      <w:tr w14:paraId="5A5A3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pct"/>
            <w:shd w:val="clear" w:color="auto" w:fill="auto"/>
            <w:vAlign w:val="top"/>
          </w:tcPr>
          <w:p w14:paraId="5D641592">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（8）</w:t>
            </w:r>
          </w:p>
        </w:tc>
        <w:tc>
          <w:tcPr>
            <w:tcW w:w="2085" w:type="pct"/>
            <w:vAlign w:val="center"/>
          </w:tcPr>
          <w:p w14:paraId="6A0342DF">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辽宁凯丰</w:t>
            </w:r>
          </w:p>
        </w:tc>
        <w:tc>
          <w:tcPr>
            <w:tcW w:w="1069" w:type="pct"/>
            <w:vAlign w:val="center"/>
          </w:tcPr>
          <w:p w14:paraId="59A6066D">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26-10-12</w:t>
            </w:r>
          </w:p>
        </w:tc>
        <w:tc>
          <w:tcPr>
            <w:tcW w:w="1019" w:type="pct"/>
            <w:vAlign w:val="center"/>
          </w:tcPr>
          <w:p w14:paraId="56F9DA5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等线" w:hAnsi="等线" w:eastAsia="等线" w:cs="等线"/>
                <w:i w:val="0"/>
                <w:iCs w:val="0"/>
                <w:color w:val="000000"/>
                <w:kern w:val="0"/>
                <w:sz w:val="22"/>
                <w:szCs w:val="22"/>
                <w:u w:val="none"/>
                <w:lang w:val="en-US" w:eastAsia="zh-CN" w:bidi="ar"/>
              </w:rPr>
              <w:t xml:space="preserve">3.65 </w:t>
            </w:r>
          </w:p>
        </w:tc>
      </w:tr>
      <w:tr w14:paraId="59A88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pct"/>
          </w:tcPr>
          <w:p w14:paraId="4FFD91D8">
            <w:pPr>
              <w:keepLines w:val="0"/>
              <w:pageBreakBefore w:val="0"/>
              <w:wordWrap/>
              <w:overflowPunct/>
              <w:topLinePunct w:val="0"/>
              <w:bidi w:val="0"/>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9</w:t>
            </w:r>
            <w:r>
              <w:rPr>
                <w:rFonts w:ascii="Times New Roman" w:hAnsi="Times New Roman" w:eastAsia="宋体" w:cs="Times New Roman"/>
                <w:szCs w:val="21"/>
              </w:rPr>
              <w:t>）</w:t>
            </w:r>
          </w:p>
        </w:tc>
        <w:tc>
          <w:tcPr>
            <w:tcW w:w="2085" w:type="pct"/>
            <w:vAlign w:val="center"/>
          </w:tcPr>
          <w:p w14:paraId="00B1F13F">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宁夏泸天化</w:t>
            </w:r>
          </w:p>
        </w:tc>
        <w:tc>
          <w:tcPr>
            <w:tcW w:w="1069" w:type="pct"/>
            <w:vAlign w:val="center"/>
          </w:tcPr>
          <w:p w14:paraId="4E18A72A">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22-19-16</w:t>
            </w:r>
          </w:p>
        </w:tc>
        <w:tc>
          <w:tcPr>
            <w:tcW w:w="1019" w:type="pct"/>
            <w:vAlign w:val="center"/>
          </w:tcPr>
          <w:p w14:paraId="01E227C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等线" w:hAnsi="等线" w:eastAsia="等线" w:cs="等线"/>
                <w:i w:val="0"/>
                <w:iCs w:val="0"/>
                <w:color w:val="000000"/>
                <w:kern w:val="0"/>
                <w:sz w:val="22"/>
                <w:szCs w:val="22"/>
                <w:u w:val="none"/>
                <w:lang w:val="en-US" w:eastAsia="zh-CN" w:bidi="ar"/>
              </w:rPr>
              <w:t xml:space="preserve">5.33 </w:t>
            </w:r>
          </w:p>
        </w:tc>
      </w:tr>
      <w:tr w14:paraId="3D795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pct"/>
          </w:tcPr>
          <w:p w14:paraId="74B44624">
            <w:pPr>
              <w:keepLines w:val="0"/>
              <w:pageBreakBefore w:val="0"/>
              <w:wordWrap/>
              <w:overflowPunct/>
              <w:topLinePunct w:val="0"/>
              <w:bidi w:val="0"/>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10</w:t>
            </w:r>
            <w:r>
              <w:rPr>
                <w:rFonts w:ascii="Times New Roman" w:hAnsi="Times New Roman" w:eastAsia="宋体" w:cs="Times New Roman"/>
                <w:szCs w:val="21"/>
              </w:rPr>
              <w:t>）</w:t>
            </w:r>
          </w:p>
        </w:tc>
        <w:tc>
          <w:tcPr>
            <w:tcW w:w="2085" w:type="pct"/>
            <w:vAlign w:val="center"/>
          </w:tcPr>
          <w:p w14:paraId="15B56055">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宁夏泸天化</w:t>
            </w:r>
          </w:p>
        </w:tc>
        <w:tc>
          <w:tcPr>
            <w:tcW w:w="1069" w:type="pct"/>
            <w:vAlign w:val="center"/>
          </w:tcPr>
          <w:p w14:paraId="12566CAC">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27-10-11</w:t>
            </w:r>
          </w:p>
        </w:tc>
        <w:tc>
          <w:tcPr>
            <w:tcW w:w="1019" w:type="pct"/>
            <w:vAlign w:val="center"/>
          </w:tcPr>
          <w:p w14:paraId="1155E86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等线" w:hAnsi="等线" w:eastAsia="等线" w:cs="等线"/>
                <w:i w:val="0"/>
                <w:iCs w:val="0"/>
                <w:color w:val="000000"/>
                <w:kern w:val="0"/>
                <w:sz w:val="22"/>
                <w:szCs w:val="22"/>
                <w:u w:val="none"/>
                <w:lang w:val="en-US" w:eastAsia="zh-CN" w:bidi="ar"/>
              </w:rPr>
              <w:t xml:space="preserve">-5.79 </w:t>
            </w:r>
          </w:p>
        </w:tc>
      </w:tr>
      <w:tr w14:paraId="1FCFF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pct"/>
          </w:tcPr>
          <w:p w14:paraId="7C4A857E">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w:t>
            </w:r>
            <w:r>
              <w:rPr>
                <w:rFonts w:hint="eastAsia" w:ascii="Times New Roman" w:hAnsi="Times New Roman" w:eastAsia="宋体" w:cs="Times New Roman"/>
                <w:szCs w:val="21"/>
                <w:lang w:val="en-US" w:eastAsia="zh-CN"/>
              </w:rPr>
              <w:t>11</w:t>
            </w:r>
            <w:r>
              <w:rPr>
                <w:rFonts w:hint="eastAsia" w:ascii="Times New Roman" w:hAnsi="Times New Roman" w:eastAsia="宋体" w:cs="Times New Roman"/>
                <w:szCs w:val="21"/>
              </w:rPr>
              <w:t>）</w:t>
            </w:r>
          </w:p>
        </w:tc>
        <w:tc>
          <w:tcPr>
            <w:tcW w:w="2085" w:type="pct"/>
            <w:vAlign w:val="center"/>
          </w:tcPr>
          <w:p w14:paraId="5F3C27C9">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宁夏泸天化</w:t>
            </w:r>
          </w:p>
        </w:tc>
        <w:tc>
          <w:tcPr>
            <w:tcW w:w="1069" w:type="pct"/>
            <w:vAlign w:val="center"/>
          </w:tcPr>
          <w:p w14:paraId="23F4E79A">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26-10-12</w:t>
            </w:r>
          </w:p>
        </w:tc>
        <w:tc>
          <w:tcPr>
            <w:tcW w:w="1019" w:type="pct"/>
            <w:vAlign w:val="center"/>
          </w:tcPr>
          <w:p w14:paraId="4D661F5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等线" w:hAnsi="等线" w:eastAsia="等线" w:cs="等线"/>
                <w:i w:val="0"/>
                <w:iCs w:val="0"/>
                <w:color w:val="000000"/>
                <w:kern w:val="0"/>
                <w:sz w:val="22"/>
                <w:szCs w:val="22"/>
                <w:u w:val="none"/>
                <w:lang w:val="en-US" w:eastAsia="zh-CN" w:bidi="ar"/>
              </w:rPr>
              <w:t xml:space="preserve">3.70 </w:t>
            </w:r>
          </w:p>
        </w:tc>
      </w:tr>
      <w:tr w14:paraId="642BB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pct"/>
          </w:tcPr>
          <w:p w14:paraId="167C7A09">
            <w:pPr>
              <w:keepLines w:val="0"/>
              <w:pageBreakBefore w:val="0"/>
              <w:wordWrap/>
              <w:overflowPunct/>
              <w:topLinePunct w:val="0"/>
              <w:bidi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w:t>
            </w:r>
            <w:r>
              <w:rPr>
                <w:rFonts w:hint="eastAsia" w:ascii="Times New Roman" w:hAnsi="Times New Roman" w:eastAsia="宋体" w:cs="Times New Roman"/>
                <w:szCs w:val="21"/>
                <w:lang w:val="en-US" w:eastAsia="zh-CN"/>
              </w:rPr>
              <w:t>12</w:t>
            </w:r>
            <w:r>
              <w:rPr>
                <w:rFonts w:hint="eastAsia" w:ascii="Times New Roman" w:hAnsi="Times New Roman" w:eastAsia="宋体" w:cs="Times New Roman"/>
                <w:szCs w:val="21"/>
              </w:rPr>
              <w:t>）</w:t>
            </w:r>
          </w:p>
        </w:tc>
        <w:tc>
          <w:tcPr>
            <w:tcW w:w="2085" w:type="pct"/>
            <w:vAlign w:val="center"/>
          </w:tcPr>
          <w:p w14:paraId="5FC86A17">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宁夏泸天化</w:t>
            </w:r>
          </w:p>
        </w:tc>
        <w:tc>
          <w:tcPr>
            <w:tcW w:w="1069" w:type="pct"/>
            <w:vAlign w:val="center"/>
          </w:tcPr>
          <w:p w14:paraId="277DDE1C">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26-9-6</w:t>
            </w:r>
          </w:p>
        </w:tc>
        <w:tc>
          <w:tcPr>
            <w:tcW w:w="1019" w:type="pct"/>
            <w:vAlign w:val="center"/>
          </w:tcPr>
          <w:p w14:paraId="4F25C36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等线" w:hAnsi="等线" w:eastAsia="等线" w:cs="等线"/>
                <w:i w:val="0"/>
                <w:iCs w:val="0"/>
                <w:color w:val="000000"/>
                <w:kern w:val="0"/>
                <w:sz w:val="22"/>
                <w:szCs w:val="22"/>
                <w:u w:val="none"/>
                <w:lang w:val="en-US" w:eastAsia="zh-CN" w:bidi="ar"/>
              </w:rPr>
              <w:t xml:space="preserve">-3.85 </w:t>
            </w:r>
          </w:p>
        </w:tc>
      </w:tr>
      <w:tr w14:paraId="27318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pct"/>
          </w:tcPr>
          <w:p w14:paraId="285E9547">
            <w:pPr>
              <w:keepLines w:val="0"/>
              <w:pageBreakBefore w:val="0"/>
              <w:wordWrap/>
              <w:overflowPunct/>
              <w:topLinePunct w:val="0"/>
              <w:bidi w:val="0"/>
              <w:spacing w:line="360" w:lineRule="auto"/>
              <w:rPr>
                <w:rFonts w:hint="eastAsia" w:ascii="Times New Roman" w:hAnsi="Times New Roman" w:eastAsia="宋体" w:cs="Times New Roman"/>
                <w:szCs w:val="21"/>
                <w:lang w:eastAsia="zh-CN"/>
              </w:rPr>
            </w:pP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lang w:val="en-US" w:eastAsia="zh-CN"/>
              </w:rPr>
              <w:t>13</w:t>
            </w:r>
            <w:r>
              <w:rPr>
                <w:rFonts w:hint="eastAsia" w:ascii="Times New Roman" w:hAnsi="Times New Roman" w:eastAsia="宋体" w:cs="Times New Roman"/>
                <w:szCs w:val="21"/>
                <w:lang w:eastAsia="zh-CN"/>
              </w:rPr>
              <w:t>）</w:t>
            </w:r>
          </w:p>
        </w:tc>
        <w:tc>
          <w:tcPr>
            <w:tcW w:w="2085" w:type="pct"/>
            <w:vAlign w:val="center"/>
          </w:tcPr>
          <w:p w14:paraId="37F5CFA7">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宁夏泸天化</w:t>
            </w:r>
          </w:p>
        </w:tc>
        <w:tc>
          <w:tcPr>
            <w:tcW w:w="1069" w:type="pct"/>
            <w:vAlign w:val="center"/>
          </w:tcPr>
          <w:p w14:paraId="579E8C11">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25-10-6</w:t>
            </w:r>
          </w:p>
        </w:tc>
        <w:tc>
          <w:tcPr>
            <w:tcW w:w="1019" w:type="pct"/>
            <w:vAlign w:val="center"/>
          </w:tcPr>
          <w:p w14:paraId="365B6E3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等线" w:hAnsi="等线" w:eastAsia="等线" w:cs="等线"/>
                <w:i w:val="0"/>
                <w:iCs w:val="0"/>
                <w:color w:val="000000"/>
                <w:kern w:val="0"/>
                <w:sz w:val="22"/>
                <w:szCs w:val="22"/>
                <w:u w:val="none"/>
                <w:lang w:val="en-US" w:eastAsia="zh-CN" w:bidi="ar"/>
              </w:rPr>
              <w:t xml:space="preserve">-1.39 </w:t>
            </w:r>
          </w:p>
        </w:tc>
      </w:tr>
      <w:tr w14:paraId="419BC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pct"/>
          </w:tcPr>
          <w:p w14:paraId="33C2D2FF">
            <w:pPr>
              <w:keepLines w:val="0"/>
              <w:pageBreakBefore w:val="0"/>
              <w:wordWrap/>
              <w:overflowPunct/>
              <w:topLinePunct w:val="0"/>
              <w:bidi w:val="0"/>
              <w:spacing w:line="360" w:lineRule="auto"/>
              <w:rPr>
                <w:rFonts w:hint="eastAsia" w:ascii="Times New Roman" w:hAnsi="Times New Roman" w:eastAsia="宋体" w:cs="Times New Roman"/>
                <w:szCs w:val="21"/>
                <w:lang w:eastAsia="zh-CN"/>
              </w:rPr>
            </w:pP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lang w:val="en-US" w:eastAsia="zh-CN"/>
              </w:rPr>
              <w:t>14</w:t>
            </w:r>
            <w:r>
              <w:rPr>
                <w:rFonts w:hint="eastAsia" w:ascii="Times New Roman" w:hAnsi="Times New Roman" w:eastAsia="宋体" w:cs="Times New Roman"/>
                <w:szCs w:val="21"/>
                <w:lang w:eastAsia="zh-CN"/>
              </w:rPr>
              <w:t>）</w:t>
            </w:r>
          </w:p>
        </w:tc>
        <w:tc>
          <w:tcPr>
            <w:tcW w:w="2085" w:type="pct"/>
            <w:vAlign w:val="center"/>
          </w:tcPr>
          <w:p w14:paraId="69335B15">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宁夏泸天化</w:t>
            </w:r>
          </w:p>
        </w:tc>
        <w:tc>
          <w:tcPr>
            <w:tcW w:w="1069" w:type="pct"/>
            <w:vAlign w:val="center"/>
          </w:tcPr>
          <w:p w14:paraId="1C54029A">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27-10-11</w:t>
            </w:r>
          </w:p>
        </w:tc>
        <w:tc>
          <w:tcPr>
            <w:tcW w:w="1019" w:type="pct"/>
            <w:vAlign w:val="center"/>
          </w:tcPr>
          <w:p w14:paraId="3387FFE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等线" w:hAnsi="等线" w:eastAsia="等线" w:cs="等线"/>
                <w:i w:val="0"/>
                <w:iCs w:val="0"/>
                <w:color w:val="000000"/>
                <w:kern w:val="0"/>
                <w:sz w:val="22"/>
                <w:szCs w:val="22"/>
                <w:u w:val="none"/>
                <w:lang w:val="en-US" w:eastAsia="zh-CN" w:bidi="ar"/>
              </w:rPr>
              <w:t xml:space="preserve">4.02 </w:t>
            </w:r>
          </w:p>
        </w:tc>
      </w:tr>
      <w:tr w14:paraId="10C45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pct"/>
          </w:tcPr>
          <w:p w14:paraId="5A9B7BF3">
            <w:pPr>
              <w:keepLines w:val="0"/>
              <w:pageBreakBefore w:val="0"/>
              <w:wordWrap/>
              <w:overflowPunct/>
              <w:topLinePunct w:val="0"/>
              <w:bidi w:val="0"/>
              <w:spacing w:line="360" w:lineRule="auto"/>
              <w:rPr>
                <w:rFonts w:hint="eastAsia" w:ascii="Times New Roman" w:hAnsi="Times New Roman" w:eastAsia="宋体" w:cs="Times New Roman"/>
                <w:szCs w:val="21"/>
                <w:lang w:eastAsia="zh-CN"/>
              </w:rPr>
            </w:pP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lang w:val="en-US" w:eastAsia="zh-CN"/>
              </w:rPr>
              <w:t>15</w:t>
            </w:r>
            <w:r>
              <w:rPr>
                <w:rFonts w:hint="eastAsia" w:ascii="Times New Roman" w:hAnsi="Times New Roman" w:eastAsia="宋体" w:cs="Times New Roman"/>
                <w:szCs w:val="21"/>
                <w:lang w:eastAsia="zh-CN"/>
              </w:rPr>
              <w:t>）</w:t>
            </w:r>
          </w:p>
        </w:tc>
        <w:tc>
          <w:tcPr>
            <w:tcW w:w="2085" w:type="pct"/>
            <w:vAlign w:val="center"/>
          </w:tcPr>
          <w:p w14:paraId="270E87EB">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宁夏泸天化</w:t>
            </w:r>
          </w:p>
        </w:tc>
        <w:tc>
          <w:tcPr>
            <w:tcW w:w="1069" w:type="pct"/>
            <w:vAlign w:val="center"/>
          </w:tcPr>
          <w:p w14:paraId="645A0579">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22-20-5</w:t>
            </w:r>
          </w:p>
        </w:tc>
        <w:tc>
          <w:tcPr>
            <w:tcW w:w="1019" w:type="pct"/>
            <w:vAlign w:val="center"/>
          </w:tcPr>
          <w:p w14:paraId="0733CA2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等线" w:hAnsi="等线" w:eastAsia="等线" w:cs="等线"/>
                <w:i w:val="0"/>
                <w:iCs w:val="0"/>
                <w:color w:val="000000"/>
                <w:kern w:val="0"/>
                <w:sz w:val="22"/>
                <w:szCs w:val="22"/>
                <w:u w:val="none"/>
                <w:lang w:val="en-US" w:eastAsia="zh-CN" w:bidi="ar"/>
              </w:rPr>
              <w:t xml:space="preserve">-14.42 </w:t>
            </w:r>
          </w:p>
        </w:tc>
      </w:tr>
      <w:tr w14:paraId="1DFFD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pct"/>
            <w:shd w:val="clear" w:color="auto" w:fill="auto"/>
            <w:vAlign w:val="top"/>
          </w:tcPr>
          <w:p w14:paraId="064B3BE9">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1</w:t>
            </w:r>
            <w:r>
              <w:rPr>
                <w:rFonts w:ascii="Times New Roman" w:hAnsi="Times New Roman" w:eastAsia="宋体" w:cs="Times New Roman"/>
                <w:szCs w:val="21"/>
              </w:rPr>
              <w:t>6）</w:t>
            </w:r>
          </w:p>
        </w:tc>
        <w:tc>
          <w:tcPr>
            <w:tcW w:w="2085" w:type="pct"/>
            <w:vAlign w:val="center"/>
          </w:tcPr>
          <w:p w14:paraId="12CE4104">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山东三色</w:t>
            </w:r>
          </w:p>
        </w:tc>
        <w:tc>
          <w:tcPr>
            <w:tcW w:w="1069" w:type="pct"/>
            <w:vAlign w:val="center"/>
          </w:tcPr>
          <w:p w14:paraId="4486C176">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26-10-12</w:t>
            </w:r>
          </w:p>
        </w:tc>
        <w:tc>
          <w:tcPr>
            <w:tcW w:w="1019" w:type="pct"/>
            <w:vAlign w:val="center"/>
          </w:tcPr>
          <w:p w14:paraId="22C9CE6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等线" w:hAnsi="等线" w:eastAsia="等线" w:cs="等线"/>
                <w:i w:val="0"/>
                <w:iCs w:val="0"/>
                <w:color w:val="000000"/>
                <w:kern w:val="0"/>
                <w:sz w:val="22"/>
                <w:szCs w:val="22"/>
                <w:u w:val="none"/>
                <w:lang w:val="en-US" w:eastAsia="zh-CN" w:bidi="ar"/>
              </w:rPr>
              <w:t xml:space="preserve">-5.41 </w:t>
            </w:r>
          </w:p>
        </w:tc>
      </w:tr>
      <w:tr w14:paraId="5070B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pct"/>
            <w:shd w:val="clear" w:color="auto" w:fill="auto"/>
            <w:vAlign w:val="top"/>
          </w:tcPr>
          <w:p w14:paraId="1B544131">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w:t>
            </w: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7）</w:t>
            </w:r>
          </w:p>
        </w:tc>
        <w:tc>
          <w:tcPr>
            <w:tcW w:w="2085" w:type="pct"/>
            <w:vAlign w:val="center"/>
          </w:tcPr>
          <w:p w14:paraId="11424674">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山东三色</w:t>
            </w:r>
          </w:p>
        </w:tc>
        <w:tc>
          <w:tcPr>
            <w:tcW w:w="1069" w:type="pct"/>
            <w:vAlign w:val="center"/>
          </w:tcPr>
          <w:p w14:paraId="50329BF7">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27-12-12</w:t>
            </w:r>
          </w:p>
        </w:tc>
        <w:tc>
          <w:tcPr>
            <w:tcW w:w="1019" w:type="pct"/>
            <w:vAlign w:val="center"/>
          </w:tcPr>
          <w:p w14:paraId="52CD45A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等线" w:hAnsi="等线" w:eastAsia="等线" w:cs="等线"/>
                <w:i w:val="0"/>
                <w:iCs w:val="0"/>
                <w:color w:val="000000"/>
                <w:kern w:val="0"/>
                <w:sz w:val="22"/>
                <w:szCs w:val="22"/>
                <w:u w:val="none"/>
                <w:lang w:val="en-US" w:eastAsia="zh-CN" w:bidi="ar"/>
              </w:rPr>
              <w:t xml:space="preserve">-3.72 </w:t>
            </w:r>
          </w:p>
        </w:tc>
      </w:tr>
      <w:tr w14:paraId="54BA2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pct"/>
            <w:shd w:val="clear" w:color="auto" w:fill="auto"/>
            <w:vAlign w:val="top"/>
          </w:tcPr>
          <w:p w14:paraId="78F24A3C">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w:t>
            </w: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8）</w:t>
            </w:r>
          </w:p>
        </w:tc>
        <w:tc>
          <w:tcPr>
            <w:tcW w:w="2085" w:type="pct"/>
            <w:vAlign w:val="center"/>
          </w:tcPr>
          <w:p w14:paraId="40D9D231">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山东三色</w:t>
            </w:r>
          </w:p>
        </w:tc>
        <w:tc>
          <w:tcPr>
            <w:tcW w:w="1069" w:type="pct"/>
            <w:vAlign w:val="center"/>
          </w:tcPr>
          <w:p w14:paraId="2966C78D">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26-12-10</w:t>
            </w:r>
          </w:p>
        </w:tc>
        <w:tc>
          <w:tcPr>
            <w:tcW w:w="1019" w:type="pct"/>
            <w:vAlign w:val="center"/>
          </w:tcPr>
          <w:p w14:paraId="667F2C2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等线" w:hAnsi="等线" w:eastAsia="等线" w:cs="等线"/>
                <w:i w:val="0"/>
                <w:iCs w:val="0"/>
                <w:color w:val="000000"/>
                <w:kern w:val="0"/>
                <w:sz w:val="22"/>
                <w:szCs w:val="22"/>
                <w:u w:val="none"/>
                <w:lang w:val="en-US" w:eastAsia="zh-CN" w:bidi="ar"/>
              </w:rPr>
              <w:t xml:space="preserve">-4.55 </w:t>
            </w:r>
          </w:p>
        </w:tc>
      </w:tr>
      <w:tr w14:paraId="7F883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pct"/>
            <w:shd w:val="clear" w:color="auto" w:fill="auto"/>
            <w:vAlign w:val="top"/>
          </w:tcPr>
          <w:p w14:paraId="42DB6DF0">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19</w:t>
            </w:r>
            <w:r>
              <w:rPr>
                <w:rFonts w:ascii="Times New Roman" w:hAnsi="Times New Roman" w:eastAsia="宋体" w:cs="Times New Roman"/>
                <w:szCs w:val="21"/>
              </w:rPr>
              <w:t>）</w:t>
            </w:r>
          </w:p>
        </w:tc>
        <w:tc>
          <w:tcPr>
            <w:tcW w:w="2085" w:type="pct"/>
            <w:vAlign w:val="center"/>
          </w:tcPr>
          <w:p w14:paraId="156D55E4">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山东三色</w:t>
            </w:r>
          </w:p>
        </w:tc>
        <w:tc>
          <w:tcPr>
            <w:tcW w:w="1069" w:type="pct"/>
            <w:vAlign w:val="center"/>
          </w:tcPr>
          <w:p w14:paraId="03992D94">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27-7-7</w:t>
            </w:r>
          </w:p>
        </w:tc>
        <w:tc>
          <w:tcPr>
            <w:tcW w:w="1019" w:type="pct"/>
            <w:vAlign w:val="center"/>
          </w:tcPr>
          <w:p w14:paraId="6503E0D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等线" w:hAnsi="等线" w:eastAsia="等线" w:cs="等线"/>
                <w:i w:val="0"/>
                <w:iCs w:val="0"/>
                <w:color w:val="000000"/>
                <w:kern w:val="0"/>
                <w:sz w:val="22"/>
                <w:szCs w:val="22"/>
                <w:u w:val="none"/>
                <w:lang w:val="en-US" w:eastAsia="zh-CN" w:bidi="ar"/>
              </w:rPr>
              <w:t xml:space="preserve">-1.44 </w:t>
            </w:r>
          </w:p>
        </w:tc>
      </w:tr>
      <w:tr w14:paraId="2FB83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pct"/>
            <w:shd w:val="clear" w:color="auto" w:fill="auto"/>
            <w:vAlign w:val="top"/>
          </w:tcPr>
          <w:p w14:paraId="45F8C625">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20</w:t>
            </w:r>
            <w:r>
              <w:rPr>
                <w:rFonts w:ascii="Times New Roman" w:hAnsi="Times New Roman" w:eastAsia="宋体" w:cs="Times New Roman"/>
                <w:szCs w:val="21"/>
              </w:rPr>
              <w:t>）</w:t>
            </w:r>
          </w:p>
        </w:tc>
        <w:tc>
          <w:tcPr>
            <w:tcW w:w="2085" w:type="pct"/>
            <w:vAlign w:val="center"/>
          </w:tcPr>
          <w:p w14:paraId="6992DBD0">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中科国投生物工程</w:t>
            </w:r>
          </w:p>
        </w:tc>
        <w:tc>
          <w:tcPr>
            <w:tcW w:w="1069" w:type="pct"/>
            <w:vAlign w:val="center"/>
          </w:tcPr>
          <w:p w14:paraId="659A46B0">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26-10-12</w:t>
            </w:r>
          </w:p>
        </w:tc>
        <w:tc>
          <w:tcPr>
            <w:tcW w:w="1019" w:type="pct"/>
            <w:vAlign w:val="center"/>
          </w:tcPr>
          <w:p w14:paraId="60357751">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宋体" w:cs="Times New Roman"/>
                <w:i w:val="0"/>
                <w:iCs w:val="0"/>
                <w:color w:val="000000"/>
                <w:kern w:val="0"/>
                <w:sz w:val="24"/>
                <w:szCs w:val="24"/>
                <w:u w:val="none"/>
                <w:lang w:val="en-US" w:eastAsia="zh-CN" w:bidi="ar"/>
              </w:rPr>
            </w:pPr>
            <w:r>
              <w:rPr>
                <w:rFonts w:hint="eastAsia" w:ascii="等线" w:hAnsi="等线" w:eastAsia="等线" w:cs="等线"/>
                <w:i w:val="0"/>
                <w:iCs w:val="0"/>
                <w:color w:val="000000"/>
                <w:kern w:val="0"/>
                <w:sz w:val="22"/>
                <w:szCs w:val="22"/>
                <w:u w:val="none"/>
                <w:lang w:val="en-US" w:eastAsia="zh-CN" w:bidi="ar"/>
              </w:rPr>
              <w:t xml:space="preserve">-24.63 </w:t>
            </w:r>
          </w:p>
        </w:tc>
      </w:tr>
      <w:tr w14:paraId="683FB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pct"/>
            <w:shd w:val="clear" w:color="auto" w:fill="auto"/>
            <w:vAlign w:val="top"/>
          </w:tcPr>
          <w:p w14:paraId="71011801">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w:t>
            </w:r>
            <w:r>
              <w:rPr>
                <w:rFonts w:hint="eastAsia" w:ascii="Times New Roman" w:hAnsi="Times New Roman" w:eastAsia="宋体" w:cs="Times New Roman"/>
                <w:szCs w:val="21"/>
                <w:lang w:val="en-US" w:eastAsia="zh-CN"/>
              </w:rPr>
              <w:t>21</w:t>
            </w:r>
            <w:r>
              <w:rPr>
                <w:rFonts w:hint="eastAsia" w:ascii="Times New Roman" w:hAnsi="Times New Roman" w:eastAsia="宋体" w:cs="Times New Roman"/>
                <w:szCs w:val="21"/>
              </w:rPr>
              <w:t>）</w:t>
            </w:r>
          </w:p>
        </w:tc>
        <w:tc>
          <w:tcPr>
            <w:tcW w:w="2085" w:type="pct"/>
            <w:vAlign w:val="bottom"/>
          </w:tcPr>
          <w:p w14:paraId="1BC1AA9B">
            <w:pPr>
              <w:keepNext w:val="0"/>
              <w:keepLines w:val="0"/>
              <w:pageBreakBefore w:val="0"/>
              <w:widowControl/>
              <w:suppressLineNumbers w:val="0"/>
              <w:wordWrap/>
              <w:overflowPunct/>
              <w:topLinePunct w:val="0"/>
              <w:bidi w:val="0"/>
              <w:spacing w:line="360" w:lineRule="auto"/>
              <w:jc w:val="center"/>
              <w:textAlignment w:val="bottom"/>
              <w:rPr>
                <w:rFonts w:hint="eastAsia"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兰花尿素</w:t>
            </w:r>
          </w:p>
        </w:tc>
        <w:tc>
          <w:tcPr>
            <w:tcW w:w="1069" w:type="pct"/>
            <w:vAlign w:val="bottom"/>
          </w:tcPr>
          <w:p w14:paraId="2848A2ED">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1019" w:type="pct"/>
            <w:vAlign w:val="center"/>
          </w:tcPr>
          <w:p w14:paraId="266CD8C8">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宋体" w:cs="Times New Roman"/>
                <w:szCs w:val="21"/>
              </w:rPr>
            </w:pPr>
            <w:r>
              <w:rPr>
                <w:rFonts w:hint="eastAsia" w:ascii="等线" w:hAnsi="等线" w:eastAsia="等线" w:cs="等线"/>
                <w:i w:val="0"/>
                <w:iCs w:val="0"/>
                <w:color w:val="000000"/>
                <w:kern w:val="0"/>
                <w:sz w:val="22"/>
                <w:szCs w:val="22"/>
                <w:u w:val="none"/>
                <w:lang w:val="en-US" w:eastAsia="zh-CN" w:bidi="ar"/>
              </w:rPr>
              <w:t xml:space="preserve">5.28 </w:t>
            </w:r>
          </w:p>
        </w:tc>
      </w:tr>
      <w:tr w14:paraId="74ADC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pct"/>
            <w:shd w:val="clear" w:color="auto" w:fill="auto"/>
            <w:vAlign w:val="top"/>
          </w:tcPr>
          <w:p w14:paraId="199DCC7C">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w:t>
            </w:r>
            <w:r>
              <w:rPr>
                <w:rFonts w:hint="eastAsia" w:ascii="Times New Roman" w:hAnsi="Times New Roman" w:eastAsia="宋体" w:cs="Times New Roman"/>
                <w:szCs w:val="21"/>
                <w:lang w:val="en-US" w:eastAsia="zh-CN"/>
              </w:rPr>
              <w:t>22</w:t>
            </w:r>
            <w:r>
              <w:rPr>
                <w:rFonts w:hint="eastAsia" w:ascii="Times New Roman" w:hAnsi="Times New Roman" w:eastAsia="宋体" w:cs="Times New Roman"/>
                <w:szCs w:val="21"/>
              </w:rPr>
              <w:t>）</w:t>
            </w:r>
          </w:p>
        </w:tc>
        <w:tc>
          <w:tcPr>
            <w:tcW w:w="2085" w:type="pct"/>
            <w:vAlign w:val="center"/>
          </w:tcPr>
          <w:p w14:paraId="3408E6D6">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szCs w:val="21"/>
              </w:rPr>
            </w:pPr>
            <w:r>
              <w:rPr>
                <w:rFonts w:hint="eastAsia" w:ascii="宋体" w:hAnsi="宋体" w:eastAsia="宋体" w:cs="宋体"/>
                <w:i w:val="0"/>
                <w:iCs w:val="0"/>
                <w:color w:val="000000"/>
                <w:kern w:val="0"/>
                <w:sz w:val="24"/>
                <w:szCs w:val="24"/>
                <w:u w:val="none"/>
                <w:lang w:val="en-US" w:eastAsia="zh-CN" w:bidi="ar"/>
              </w:rPr>
              <w:t>兰花尿素</w:t>
            </w:r>
          </w:p>
        </w:tc>
        <w:tc>
          <w:tcPr>
            <w:tcW w:w="1069" w:type="pct"/>
            <w:vAlign w:val="bottom"/>
          </w:tcPr>
          <w:p w14:paraId="1DCCAA69">
            <w:pPr>
              <w:keepLines w:val="0"/>
              <w:pageBreakBefore w:val="0"/>
              <w:wordWrap/>
              <w:overflowPunct/>
              <w:topLinePunct w:val="0"/>
              <w:bidi w:val="0"/>
              <w:spacing w:line="360" w:lineRule="auto"/>
              <w:rPr>
                <w:rFonts w:hint="eastAsia" w:ascii="Times New Roman" w:hAnsi="Times New Roman" w:eastAsia="宋体" w:cs="Times New Roman"/>
                <w:szCs w:val="21"/>
              </w:rPr>
            </w:pPr>
          </w:p>
        </w:tc>
        <w:tc>
          <w:tcPr>
            <w:tcW w:w="1019" w:type="pct"/>
            <w:vAlign w:val="center"/>
          </w:tcPr>
          <w:p w14:paraId="1ECA9D35">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宋体" w:cs="Times New Roman"/>
                <w:szCs w:val="21"/>
              </w:rPr>
            </w:pPr>
            <w:r>
              <w:rPr>
                <w:rFonts w:hint="eastAsia" w:ascii="等线" w:hAnsi="等线" w:eastAsia="等线" w:cs="等线"/>
                <w:i w:val="0"/>
                <w:iCs w:val="0"/>
                <w:color w:val="000000"/>
                <w:kern w:val="0"/>
                <w:sz w:val="22"/>
                <w:szCs w:val="22"/>
                <w:u w:val="none"/>
                <w:lang w:val="en-US" w:eastAsia="zh-CN" w:bidi="ar"/>
              </w:rPr>
              <w:t xml:space="preserve">6.68 </w:t>
            </w:r>
          </w:p>
        </w:tc>
      </w:tr>
    </w:tbl>
    <w:p w14:paraId="584D8387">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2.3 小结</w:t>
      </w:r>
    </w:p>
    <w:p w14:paraId="21619B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该套检测方法在检测企业生产的稳定性肥料硝化潜势差异率时存在检测结果不稳定的情况，故下一步开展检测过程中的各项变量参数以及对照肥料配比等影响因素的优化和改进。</w:t>
      </w:r>
    </w:p>
    <w:p w14:paraId="78D17887">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0" w:firstLineChars="0"/>
        <w:textAlignment w:val="auto"/>
        <w:rPr>
          <w:rFonts w:hint="default" w:ascii="Times New Roman" w:hAnsi="Times New Roman" w:eastAsia="宋体" w:cs="Times New Roman"/>
          <w:b/>
          <w:bCs w:val="0"/>
          <w:sz w:val="24"/>
          <w:szCs w:val="24"/>
          <w:lang w:val="en-US" w:eastAsia="zh-CN"/>
        </w:rPr>
      </w:pPr>
      <w:r>
        <w:rPr>
          <w:rFonts w:hint="default" w:ascii="Times New Roman" w:hAnsi="Times New Roman" w:eastAsia="宋体" w:cs="Times New Roman"/>
          <w:b/>
          <w:bCs w:val="0"/>
          <w:sz w:val="24"/>
          <w:szCs w:val="24"/>
          <w:lang w:val="en-US" w:eastAsia="zh-CN"/>
        </w:rPr>
        <w:t>3</w:t>
      </w:r>
      <w:r>
        <w:rPr>
          <w:rFonts w:hint="eastAsia" w:ascii="Times New Roman" w:hAnsi="Times New Roman" w:eastAsia="宋体" w:cs="Times New Roman"/>
          <w:b/>
          <w:bCs w:val="0"/>
          <w:sz w:val="24"/>
          <w:szCs w:val="24"/>
          <w:lang w:val="en-US" w:eastAsia="zh-CN"/>
        </w:rPr>
        <w:t>、</w:t>
      </w:r>
      <w:r>
        <w:rPr>
          <w:rFonts w:hint="default" w:ascii="Times New Roman" w:hAnsi="Times New Roman" w:eastAsia="宋体" w:cs="Times New Roman"/>
          <w:b/>
          <w:bCs w:val="0"/>
          <w:sz w:val="24"/>
          <w:szCs w:val="24"/>
          <w:lang w:val="en-US" w:eastAsia="zh-CN"/>
        </w:rPr>
        <w:t>硝化潜势测定方法的优化</w:t>
      </w:r>
      <w:r>
        <w:rPr>
          <w:rFonts w:hint="eastAsia" w:ascii="Times New Roman" w:hAnsi="Times New Roman" w:eastAsia="宋体" w:cs="Times New Roman"/>
          <w:b/>
          <w:bCs w:val="0"/>
          <w:sz w:val="24"/>
          <w:szCs w:val="24"/>
          <w:lang w:val="en-US" w:eastAsia="zh-CN"/>
        </w:rPr>
        <w:t>-培养条件</w:t>
      </w:r>
    </w:p>
    <w:p w14:paraId="5F540CD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bCs/>
          <w:sz w:val="24"/>
          <w:szCs w:val="24"/>
          <w:lang w:val="en-US" w:eastAsia="zh-CN"/>
        </w:rPr>
        <w:t>基于1和2的检测结果，开展土壤硝化潜势测定方法的步骤和参数优化工作。测定方法和步骤基本保持不变，只对其中某种参数进行验证。</w:t>
      </w:r>
      <w:r>
        <w:rPr>
          <w:rFonts w:hint="eastAsia" w:ascii="Times New Roman" w:hAnsi="Times New Roman" w:eastAsia="宋体" w:cs="Times New Roman"/>
          <w:sz w:val="24"/>
          <w:szCs w:val="24"/>
          <w:lang w:val="en-US" w:eastAsia="zh-CN"/>
        </w:rPr>
        <w:t>具体优化的参数、步骤以及结果如下。</w:t>
      </w:r>
    </w:p>
    <w:p w14:paraId="1FD2CDA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3.1 供试肥料</w:t>
      </w:r>
    </w:p>
    <w:p w14:paraId="05EFA55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Cs/>
          <w:sz w:val="24"/>
          <w:szCs w:val="24"/>
          <w:lang w:val="en-US" w:eastAsia="zh-CN"/>
        </w:rPr>
      </w:pPr>
      <w:r>
        <w:rPr>
          <w:rFonts w:hint="eastAsia" w:ascii="Times New Roman" w:hAnsi="Times New Roman" w:eastAsia="宋体" w:cs="Times New Roman"/>
          <w:bCs/>
          <w:sz w:val="24"/>
          <w:szCs w:val="24"/>
          <w:lang w:val="en-US" w:eastAsia="zh-CN"/>
        </w:rPr>
        <w:t>供试肥料为表4中的7、8、9、10号样品，以及尿素、硫铵、26-10-12复合肥（自配）、28-10-10复合肥（自配）、22-10-18复合肥（自配）。肥料样品及其对照均采用实验室分析纯试剂和NAM配置。</w:t>
      </w:r>
    </w:p>
    <w:p w14:paraId="7DE4BD91">
      <w:pPr>
        <w:keepLines w:val="0"/>
        <w:pageBreakBefore w:val="0"/>
        <w:wordWrap/>
        <w:overflowPunct/>
        <w:topLinePunct w:val="0"/>
        <w:bidi w:val="0"/>
        <w:spacing w:line="360" w:lineRule="auto"/>
        <w:ind w:firstLine="422" w:firstLineChars="200"/>
        <w:jc w:val="center"/>
        <w:rPr>
          <w:rFonts w:hint="eastAsia" w:ascii="Times New Roman" w:hAnsi="Times New Roman" w:eastAsia="宋体" w:cs="Times New Roman"/>
          <w:b/>
          <w:szCs w:val="21"/>
          <w:lang w:val="en-US" w:eastAsia="zh-CN"/>
        </w:rPr>
      </w:pPr>
      <w:r>
        <w:rPr>
          <w:rFonts w:hint="eastAsia" w:ascii="Times New Roman" w:hAnsi="Times New Roman" w:eastAsia="宋体" w:cs="Times New Roman"/>
          <w:b/>
          <w:szCs w:val="21"/>
          <w:lang w:val="en-US" w:eastAsia="zh-CN"/>
        </w:rPr>
        <w:t>表6 肥料配制表（2）</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
        <w:gridCol w:w="1791"/>
        <w:gridCol w:w="773"/>
        <w:gridCol w:w="948"/>
        <w:gridCol w:w="713"/>
        <w:gridCol w:w="773"/>
        <w:gridCol w:w="948"/>
        <w:gridCol w:w="948"/>
        <w:gridCol w:w="794"/>
      </w:tblGrid>
      <w:tr w14:paraId="238F2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87" w:type="pct"/>
          </w:tcPr>
          <w:p w14:paraId="2A365ECF">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1050" w:type="pct"/>
          </w:tcPr>
          <w:p w14:paraId="02DFFE99">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配方</w:t>
            </w:r>
          </w:p>
        </w:tc>
        <w:tc>
          <w:tcPr>
            <w:tcW w:w="453" w:type="pct"/>
          </w:tcPr>
          <w:p w14:paraId="6636ED6D">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尿素</w:t>
            </w:r>
          </w:p>
          <w:p w14:paraId="643F5121">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 xml:space="preserve"> g</w:t>
            </w:r>
          </w:p>
        </w:tc>
        <w:tc>
          <w:tcPr>
            <w:tcW w:w="556" w:type="pct"/>
          </w:tcPr>
          <w:p w14:paraId="6C184A5C">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氯化铵</w:t>
            </w:r>
          </w:p>
          <w:p w14:paraId="7AE9906C">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g</w:t>
            </w:r>
          </w:p>
        </w:tc>
        <w:tc>
          <w:tcPr>
            <w:tcW w:w="418" w:type="pct"/>
          </w:tcPr>
          <w:p w14:paraId="2689855C">
            <w:pPr>
              <w:keepLines w:val="0"/>
              <w:pageBreakBefore w:val="0"/>
              <w:wordWrap/>
              <w:overflowPunct/>
              <w:topLinePunct w:val="0"/>
              <w:bidi w:val="0"/>
              <w:spacing w:line="360" w:lineRule="auto"/>
              <w:rPr>
                <w:rFonts w:hint="eastAsia" w:ascii="Times New Roman" w:hAnsi="Times New Roman" w:eastAsia="宋体" w:cs="Times New Roman"/>
                <w:b w:val="0"/>
                <w:bCs w:val="0"/>
                <w:sz w:val="21"/>
                <w:szCs w:val="21"/>
                <w:lang w:val="en-US" w:eastAsia="zh-CN"/>
              </w:rPr>
            </w:pPr>
            <w:r>
              <w:rPr>
                <w:rFonts w:hint="eastAsia" w:ascii="Times New Roman" w:hAnsi="Times New Roman" w:eastAsia="宋体" w:cs="Times New Roman"/>
                <w:b w:val="0"/>
                <w:bCs w:val="0"/>
                <w:sz w:val="21"/>
                <w:szCs w:val="21"/>
                <w:lang w:val="en-US" w:eastAsia="zh-CN"/>
              </w:rPr>
              <w:t>二铵</w:t>
            </w:r>
          </w:p>
          <w:p w14:paraId="127FBC12">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 xml:space="preserve">g  </w:t>
            </w:r>
          </w:p>
        </w:tc>
        <w:tc>
          <w:tcPr>
            <w:tcW w:w="453" w:type="pct"/>
          </w:tcPr>
          <w:p w14:paraId="1838E2E8">
            <w:pPr>
              <w:keepLines w:val="0"/>
              <w:pageBreakBefore w:val="0"/>
              <w:wordWrap/>
              <w:overflowPunct/>
              <w:topLinePunct w:val="0"/>
              <w:bidi w:val="0"/>
              <w:spacing w:line="360" w:lineRule="auto"/>
              <w:rPr>
                <w:rFonts w:hint="eastAsia" w:ascii="Times New Roman" w:hAnsi="Times New Roman" w:eastAsia="宋体" w:cs="Times New Roman"/>
                <w:b w:val="0"/>
                <w:bCs w:val="0"/>
                <w:sz w:val="21"/>
                <w:szCs w:val="21"/>
                <w:lang w:val="en-US" w:eastAsia="zh-CN"/>
              </w:rPr>
            </w:pPr>
            <w:r>
              <w:rPr>
                <w:rFonts w:hint="eastAsia" w:ascii="Times New Roman" w:hAnsi="Times New Roman" w:eastAsia="宋体" w:cs="Times New Roman"/>
                <w:b w:val="0"/>
                <w:bCs w:val="0"/>
                <w:sz w:val="21"/>
                <w:szCs w:val="21"/>
                <w:lang w:val="en-US" w:eastAsia="zh-CN"/>
              </w:rPr>
              <w:t>一铵</w:t>
            </w:r>
          </w:p>
          <w:p w14:paraId="510B332F">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g</w:t>
            </w:r>
          </w:p>
        </w:tc>
        <w:tc>
          <w:tcPr>
            <w:tcW w:w="556" w:type="pct"/>
          </w:tcPr>
          <w:p w14:paraId="35B77A60">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eastAsia" w:ascii="Times New Roman" w:hAnsi="Times New Roman" w:eastAsia="宋体" w:cs="Times New Roman"/>
                <w:b w:val="0"/>
                <w:bCs w:val="0"/>
                <w:sz w:val="21"/>
                <w:szCs w:val="21"/>
                <w:lang w:val="en-US" w:eastAsia="zh-CN"/>
              </w:rPr>
              <w:t>氯化钾</w:t>
            </w:r>
            <w:r>
              <w:rPr>
                <w:rFonts w:hint="default" w:ascii="Times New Roman" w:hAnsi="Times New Roman" w:eastAsia="宋体" w:cs="Times New Roman"/>
                <w:b w:val="0"/>
                <w:bCs w:val="0"/>
                <w:sz w:val="21"/>
                <w:szCs w:val="21"/>
              </w:rPr>
              <w:t xml:space="preserve">  </w:t>
            </w:r>
          </w:p>
          <w:p w14:paraId="5ADE88B8">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g</w:t>
            </w:r>
          </w:p>
        </w:tc>
        <w:tc>
          <w:tcPr>
            <w:tcW w:w="556" w:type="pct"/>
          </w:tcPr>
          <w:p w14:paraId="262FDE80">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膨润土</w:t>
            </w:r>
          </w:p>
        </w:tc>
        <w:tc>
          <w:tcPr>
            <w:tcW w:w="465" w:type="pct"/>
          </w:tcPr>
          <w:p w14:paraId="15779E4F">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 xml:space="preserve">NAM </w:t>
            </w:r>
          </w:p>
          <w:p w14:paraId="2900ECF4">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g</w:t>
            </w:r>
          </w:p>
        </w:tc>
      </w:tr>
      <w:tr w14:paraId="4380A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 w:type="pct"/>
          </w:tcPr>
          <w:p w14:paraId="45A18FE8">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（1）</w:t>
            </w:r>
          </w:p>
        </w:tc>
        <w:tc>
          <w:tcPr>
            <w:tcW w:w="1050" w:type="pct"/>
          </w:tcPr>
          <w:p w14:paraId="621A9BC2">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尿素</w:t>
            </w:r>
          </w:p>
        </w:tc>
        <w:tc>
          <w:tcPr>
            <w:tcW w:w="453" w:type="pct"/>
          </w:tcPr>
          <w:p w14:paraId="31D65192">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30</w:t>
            </w:r>
          </w:p>
        </w:tc>
        <w:tc>
          <w:tcPr>
            <w:tcW w:w="556" w:type="pct"/>
          </w:tcPr>
          <w:p w14:paraId="06041DB1">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418" w:type="pct"/>
          </w:tcPr>
          <w:p w14:paraId="66F3C5FF">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453" w:type="pct"/>
          </w:tcPr>
          <w:p w14:paraId="30FFB868">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556" w:type="pct"/>
          </w:tcPr>
          <w:p w14:paraId="5D522F6B">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556" w:type="pct"/>
          </w:tcPr>
          <w:p w14:paraId="34F1FA35">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465" w:type="pct"/>
          </w:tcPr>
          <w:p w14:paraId="42189108">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r>
      <w:tr w14:paraId="3D8A7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 w:type="pct"/>
          </w:tcPr>
          <w:p w14:paraId="39C20452">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1050" w:type="pct"/>
          </w:tcPr>
          <w:p w14:paraId="632C9C6C">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rPr>
              <w:t>尿素</w:t>
            </w:r>
            <w:r>
              <w:rPr>
                <w:rFonts w:hint="default" w:ascii="Times New Roman" w:hAnsi="Times New Roman" w:eastAsia="宋体" w:cs="Times New Roman"/>
                <w:b w:val="0"/>
                <w:bCs w:val="0"/>
                <w:sz w:val="21"/>
                <w:szCs w:val="21"/>
                <w:lang w:val="en-US" w:eastAsia="zh-CN"/>
              </w:rPr>
              <w:t>+NAM</w:t>
            </w:r>
          </w:p>
        </w:tc>
        <w:tc>
          <w:tcPr>
            <w:tcW w:w="453" w:type="pct"/>
          </w:tcPr>
          <w:p w14:paraId="4179C4E2">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30</w:t>
            </w:r>
          </w:p>
        </w:tc>
        <w:tc>
          <w:tcPr>
            <w:tcW w:w="556" w:type="pct"/>
          </w:tcPr>
          <w:p w14:paraId="7782F049">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418" w:type="pct"/>
          </w:tcPr>
          <w:p w14:paraId="754906B8">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453" w:type="pct"/>
          </w:tcPr>
          <w:p w14:paraId="0D93B7C2">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556" w:type="pct"/>
          </w:tcPr>
          <w:p w14:paraId="76FD4B24">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556" w:type="pct"/>
          </w:tcPr>
          <w:p w14:paraId="6E3890B9">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465" w:type="pct"/>
          </w:tcPr>
          <w:p w14:paraId="0B14F1BC">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0.21</w:t>
            </w:r>
          </w:p>
        </w:tc>
      </w:tr>
      <w:tr w14:paraId="3F576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 w:type="pct"/>
          </w:tcPr>
          <w:p w14:paraId="04BA9FBE">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w:t>
            </w:r>
            <w:r>
              <w:rPr>
                <w:rFonts w:hint="default" w:ascii="Times New Roman" w:hAnsi="Times New Roman" w:eastAsia="宋体" w:cs="Times New Roman"/>
                <w:b w:val="0"/>
                <w:bCs w:val="0"/>
                <w:sz w:val="21"/>
                <w:szCs w:val="21"/>
                <w:lang w:val="en-US" w:eastAsia="zh-CN"/>
              </w:rPr>
              <w:t>2</w:t>
            </w:r>
            <w:r>
              <w:rPr>
                <w:rFonts w:hint="default" w:ascii="Times New Roman" w:hAnsi="Times New Roman" w:eastAsia="宋体" w:cs="Times New Roman"/>
                <w:b w:val="0"/>
                <w:bCs w:val="0"/>
                <w:sz w:val="21"/>
                <w:szCs w:val="21"/>
              </w:rPr>
              <w:t>）</w:t>
            </w:r>
          </w:p>
        </w:tc>
        <w:tc>
          <w:tcPr>
            <w:tcW w:w="1050" w:type="pct"/>
          </w:tcPr>
          <w:p w14:paraId="068EDC79">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26-10-12</w:t>
            </w:r>
          </w:p>
        </w:tc>
        <w:tc>
          <w:tcPr>
            <w:tcW w:w="453" w:type="pct"/>
          </w:tcPr>
          <w:p w14:paraId="31ACB406">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20.46</w:t>
            </w:r>
          </w:p>
        </w:tc>
        <w:tc>
          <w:tcPr>
            <w:tcW w:w="556" w:type="pct"/>
          </w:tcPr>
          <w:p w14:paraId="49830825">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10.77</w:t>
            </w:r>
          </w:p>
        </w:tc>
        <w:tc>
          <w:tcPr>
            <w:tcW w:w="418" w:type="pct"/>
          </w:tcPr>
          <w:p w14:paraId="42DC5599">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6.46</w:t>
            </w:r>
          </w:p>
        </w:tc>
        <w:tc>
          <w:tcPr>
            <w:tcW w:w="453" w:type="pct"/>
          </w:tcPr>
          <w:p w14:paraId="19CCA67A">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5.39</w:t>
            </w:r>
          </w:p>
        </w:tc>
        <w:tc>
          <w:tcPr>
            <w:tcW w:w="556" w:type="pct"/>
          </w:tcPr>
          <w:p w14:paraId="5B1B4C44">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10.77</w:t>
            </w:r>
          </w:p>
        </w:tc>
        <w:tc>
          <w:tcPr>
            <w:tcW w:w="556" w:type="pct"/>
          </w:tcPr>
          <w:p w14:paraId="4149C484">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465" w:type="pct"/>
          </w:tcPr>
          <w:p w14:paraId="4604C070">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r>
      <w:tr w14:paraId="293A4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 w:type="pct"/>
          </w:tcPr>
          <w:p w14:paraId="1688656D">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1050" w:type="pct"/>
          </w:tcPr>
          <w:p w14:paraId="09A7B6C8">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26-10-12</w:t>
            </w:r>
            <w:r>
              <w:rPr>
                <w:rFonts w:hint="default" w:ascii="Times New Roman" w:hAnsi="Times New Roman" w:eastAsia="宋体" w:cs="Times New Roman"/>
                <w:b w:val="0"/>
                <w:bCs w:val="0"/>
                <w:sz w:val="21"/>
                <w:szCs w:val="21"/>
                <w:lang w:val="en-US" w:eastAsia="zh-CN"/>
              </w:rPr>
              <w:t>+NAM</w:t>
            </w:r>
          </w:p>
        </w:tc>
        <w:tc>
          <w:tcPr>
            <w:tcW w:w="453" w:type="pct"/>
          </w:tcPr>
          <w:p w14:paraId="021BC245">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20.46</w:t>
            </w:r>
          </w:p>
        </w:tc>
        <w:tc>
          <w:tcPr>
            <w:tcW w:w="556" w:type="pct"/>
          </w:tcPr>
          <w:p w14:paraId="7DF87999">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10.77</w:t>
            </w:r>
          </w:p>
        </w:tc>
        <w:tc>
          <w:tcPr>
            <w:tcW w:w="418" w:type="pct"/>
          </w:tcPr>
          <w:p w14:paraId="405DED0D">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6.46</w:t>
            </w:r>
          </w:p>
        </w:tc>
        <w:tc>
          <w:tcPr>
            <w:tcW w:w="453" w:type="pct"/>
          </w:tcPr>
          <w:p w14:paraId="6E5BF00D">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5.39</w:t>
            </w:r>
          </w:p>
        </w:tc>
        <w:tc>
          <w:tcPr>
            <w:tcW w:w="556" w:type="pct"/>
          </w:tcPr>
          <w:p w14:paraId="581504E1">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10.77</w:t>
            </w:r>
          </w:p>
        </w:tc>
        <w:tc>
          <w:tcPr>
            <w:tcW w:w="556" w:type="pct"/>
          </w:tcPr>
          <w:p w14:paraId="396903C8">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465" w:type="pct"/>
          </w:tcPr>
          <w:p w14:paraId="0CC2D38B">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0.38</w:t>
            </w:r>
          </w:p>
        </w:tc>
      </w:tr>
      <w:tr w14:paraId="448F8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 w:type="pct"/>
          </w:tcPr>
          <w:p w14:paraId="3B6A72A0">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（3）</w:t>
            </w:r>
          </w:p>
        </w:tc>
        <w:tc>
          <w:tcPr>
            <w:tcW w:w="1050" w:type="pct"/>
          </w:tcPr>
          <w:p w14:paraId="7DBC37AB">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28-10-10</w:t>
            </w:r>
          </w:p>
        </w:tc>
        <w:tc>
          <w:tcPr>
            <w:tcW w:w="453" w:type="pct"/>
          </w:tcPr>
          <w:p w14:paraId="38B08944">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22</w:t>
            </w:r>
          </w:p>
        </w:tc>
        <w:tc>
          <w:tcPr>
            <w:tcW w:w="556" w:type="pct"/>
          </w:tcPr>
          <w:p w14:paraId="678ED024">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8.5</w:t>
            </w:r>
          </w:p>
        </w:tc>
        <w:tc>
          <w:tcPr>
            <w:tcW w:w="418" w:type="pct"/>
          </w:tcPr>
          <w:p w14:paraId="6CD3D822">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6.00</w:t>
            </w:r>
          </w:p>
        </w:tc>
        <w:tc>
          <w:tcPr>
            <w:tcW w:w="453" w:type="pct"/>
          </w:tcPr>
          <w:p w14:paraId="16176F24">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5.00</w:t>
            </w:r>
          </w:p>
        </w:tc>
        <w:tc>
          <w:tcPr>
            <w:tcW w:w="556" w:type="pct"/>
          </w:tcPr>
          <w:p w14:paraId="1C0F6304">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8.50</w:t>
            </w:r>
          </w:p>
        </w:tc>
        <w:tc>
          <w:tcPr>
            <w:tcW w:w="556" w:type="pct"/>
          </w:tcPr>
          <w:p w14:paraId="15564701">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465" w:type="pct"/>
          </w:tcPr>
          <w:p w14:paraId="29EEADD5">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r>
      <w:tr w14:paraId="22E01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 w:type="pct"/>
          </w:tcPr>
          <w:p w14:paraId="52515790">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1050" w:type="pct"/>
          </w:tcPr>
          <w:p w14:paraId="15990422">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28-10-10</w:t>
            </w:r>
            <w:r>
              <w:rPr>
                <w:rFonts w:hint="default" w:ascii="Times New Roman" w:hAnsi="Times New Roman" w:eastAsia="宋体" w:cs="Times New Roman"/>
                <w:b w:val="0"/>
                <w:bCs w:val="0"/>
                <w:sz w:val="21"/>
                <w:szCs w:val="21"/>
                <w:lang w:val="en-US" w:eastAsia="zh-CN"/>
              </w:rPr>
              <w:t>+NAM</w:t>
            </w:r>
          </w:p>
        </w:tc>
        <w:tc>
          <w:tcPr>
            <w:tcW w:w="453" w:type="pct"/>
          </w:tcPr>
          <w:p w14:paraId="2A405782">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22</w:t>
            </w:r>
          </w:p>
        </w:tc>
        <w:tc>
          <w:tcPr>
            <w:tcW w:w="556" w:type="pct"/>
          </w:tcPr>
          <w:p w14:paraId="0169D0D3">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8.5</w:t>
            </w:r>
          </w:p>
        </w:tc>
        <w:tc>
          <w:tcPr>
            <w:tcW w:w="418" w:type="pct"/>
          </w:tcPr>
          <w:p w14:paraId="537CE3C7">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6.00</w:t>
            </w:r>
          </w:p>
        </w:tc>
        <w:tc>
          <w:tcPr>
            <w:tcW w:w="453" w:type="pct"/>
          </w:tcPr>
          <w:p w14:paraId="793B1AD0">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5.00</w:t>
            </w:r>
          </w:p>
        </w:tc>
        <w:tc>
          <w:tcPr>
            <w:tcW w:w="556" w:type="pct"/>
          </w:tcPr>
          <w:p w14:paraId="6B809AD7">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8.50</w:t>
            </w:r>
          </w:p>
        </w:tc>
        <w:tc>
          <w:tcPr>
            <w:tcW w:w="556" w:type="pct"/>
          </w:tcPr>
          <w:p w14:paraId="3FC11EEB">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465" w:type="pct"/>
          </w:tcPr>
          <w:p w14:paraId="6ECBFE1A">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0.35</w:t>
            </w:r>
          </w:p>
        </w:tc>
      </w:tr>
      <w:tr w14:paraId="6D8F8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 w:type="pct"/>
          </w:tcPr>
          <w:p w14:paraId="0A14925E">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（4）</w:t>
            </w:r>
          </w:p>
        </w:tc>
        <w:tc>
          <w:tcPr>
            <w:tcW w:w="1050" w:type="pct"/>
          </w:tcPr>
          <w:p w14:paraId="523FD20D">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22-10-10</w:t>
            </w:r>
            <w:r>
              <w:rPr>
                <w:rFonts w:hint="default" w:ascii="Times New Roman" w:hAnsi="Times New Roman" w:eastAsia="宋体" w:cs="Times New Roman"/>
                <w:b w:val="0"/>
                <w:bCs w:val="0"/>
                <w:sz w:val="21"/>
                <w:szCs w:val="21"/>
                <w:lang w:val="en-US" w:eastAsia="zh-CN"/>
              </w:rPr>
              <w:t>+NAM</w:t>
            </w:r>
          </w:p>
        </w:tc>
        <w:tc>
          <w:tcPr>
            <w:tcW w:w="453" w:type="pct"/>
          </w:tcPr>
          <w:p w14:paraId="756A1582">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14.63</w:t>
            </w:r>
          </w:p>
        </w:tc>
        <w:tc>
          <w:tcPr>
            <w:tcW w:w="556" w:type="pct"/>
          </w:tcPr>
          <w:p w14:paraId="01C825CD">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15.27</w:t>
            </w:r>
          </w:p>
        </w:tc>
        <w:tc>
          <w:tcPr>
            <w:tcW w:w="418" w:type="pct"/>
          </w:tcPr>
          <w:p w14:paraId="765EC977">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7.64</w:t>
            </w:r>
          </w:p>
        </w:tc>
        <w:tc>
          <w:tcPr>
            <w:tcW w:w="453" w:type="pct"/>
          </w:tcPr>
          <w:p w14:paraId="2D63C994">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6.36</w:t>
            </w:r>
          </w:p>
        </w:tc>
        <w:tc>
          <w:tcPr>
            <w:tcW w:w="556" w:type="pct"/>
          </w:tcPr>
          <w:p w14:paraId="6838FA2C">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10.82</w:t>
            </w:r>
          </w:p>
        </w:tc>
        <w:tc>
          <w:tcPr>
            <w:tcW w:w="556" w:type="pct"/>
          </w:tcPr>
          <w:p w14:paraId="6CE247CB">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8.91</w:t>
            </w:r>
          </w:p>
        </w:tc>
        <w:tc>
          <w:tcPr>
            <w:tcW w:w="465" w:type="pct"/>
          </w:tcPr>
          <w:p w14:paraId="3FE92078">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r>
      <w:tr w14:paraId="79322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 w:type="pct"/>
          </w:tcPr>
          <w:p w14:paraId="354DE157">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1050" w:type="pct"/>
          </w:tcPr>
          <w:p w14:paraId="07CA9390">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22-10-10</w:t>
            </w:r>
          </w:p>
        </w:tc>
        <w:tc>
          <w:tcPr>
            <w:tcW w:w="453" w:type="pct"/>
          </w:tcPr>
          <w:p w14:paraId="018B9D56">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14.63</w:t>
            </w:r>
          </w:p>
        </w:tc>
        <w:tc>
          <w:tcPr>
            <w:tcW w:w="556" w:type="pct"/>
          </w:tcPr>
          <w:p w14:paraId="641F8B30">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15.27</w:t>
            </w:r>
          </w:p>
        </w:tc>
        <w:tc>
          <w:tcPr>
            <w:tcW w:w="418" w:type="pct"/>
          </w:tcPr>
          <w:p w14:paraId="292B8AF4">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7.64</w:t>
            </w:r>
          </w:p>
        </w:tc>
        <w:tc>
          <w:tcPr>
            <w:tcW w:w="453" w:type="pct"/>
          </w:tcPr>
          <w:p w14:paraId="067E81C5">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6.36</w:t>
            </w:r>
          </w:p>
        </w:tc>
        <w:tc>
          <w:tcPr>
            <w:tcW w:w="556" w:type="pct"/>
          </w:tcPr>
          <w:p w14:paraId="3E450ED9">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10.82</w:t>
            </w:r>
          </w:p>
        </w:tc>
        <w:tc>
          <w:tcPr>
            <w:tcW w:w="556" w:type="pct"/>
          </w:tcPr>
          <w:p w14:paraId="7A578214">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8.91</w:t>
            </w:r>
          </w:p>
        </w:tc>
        <w:tc>
          <w:tcPr>
            <w:tcW w:w="465" w:type="pct"/>
          </w:tcPr>
          <w:p w14:paraId="0A264503">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0.45</w:t>
            </w:r>
          </w:p>
        </w:tc>
      </w:tr>
      <w:tr w14:paraId="2E1C4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 w:type="pct"/>
          </w:tcPr>
          <w:p w14:paraId="0E5FEBD3">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（5）</w:t>
            </w:r>
          </w:p>
        </w:tc>
        <w:tc>
          <w:tcPr>
            <w:tcW w:w="1050" w:type="pct"/>
            <w:shd w:val="clear" w:color="auto" w:fill="auto"/>
            <w:vAlign w:val="top"/>
          </w:tcPr>
          <w:p w14:paraId="38084F06">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b w:val="0"/>
                <w:bCs w:val="0"/>
                <w:sz w:val="21"/>
                <w:szCs w:val="21"/>
              </w:rPr>
              <w:t>硫铵</w:t>
            </w:r>
          </w:p>
        </w:tc>
        <w:tc>
          <w:tcPr>
            <w:tcW w:w="453" w:type="pct"/>
            <w:shd w:val="clear" w:color="auto" w:fill="auto"/>
            <w:vAlign w:val="top"/>
          </w:tcPr>
          <w:p w14:paraId="7BC5080F">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b w:val="0"/>
                <w:bCs w:val="0"/>
                <w:sz w:val="21"/>
                <w:szCs w:val="21"/>
              </w:rPr>
              <w:t>66</w:t>
            </w:r>
          </w:p>
        </w:tc>
        <w:tc>
          <w:tcPr>
            <w:tcW w:w="556" w:type="pct"/>
            <w:shd w:val="clear" w:color="auto" w:fill="auto"/>
            <w:vAlign w:val="top"/>
          </w:tcPr>
          <w:p w14:paraId="226255C7">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21"/>
                <w:szCs w:val="21"/>
                <w:lang w:val="en-US" w:eastAsia="zh-CN" w:bidi="ar-SA"/>
              </w:rPr>
            </w:pPr>
          </w:p>
        </w:tc>
        <w:tc>
          <w:tcPr>
            <w:tcW w:w="418" w:type="pct"/>
            <w:shd w:val="clear" w:color="auto" w:fill="auto"/>
            <w:vAlign w:val="top"/>
          </w:tcPr>
          <w:p w14:paraId="1DB7DEC0">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21"/>
                <w:szCs w:val="21"/>
                <w:lang w:val="en-US" w:eastAsia="zh-CN" w:bidi="ar-SA"/>
              </w:rPr>
            </w:pPr>
          </w:p>
        </w:tc>
        <w:tc>
          <w:tcPr>
            <w:tcW w:w="453" w:type="pct"/>
            <w:shd w:val="clear" w:color="auto" w:fill="auto"/>
            <w:vAlign w:val="top"/>
          </w:tcPr>
          <w:p w14:paraId="1EDF2BB5">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21"/>
                <w:szCs w:val="21"/>
                <w:lang w:val="en-US" w:eastAsia="zh-CN" w:bidi="ar-SA"/>
              </w:rPr>
            </w:pPr>
          </w:p>
        </w:tc>
        <w:tc>
          <w:tcPr>
            <w:tcW w:w="556" w:type="pct"/>
            <w:shd w:val="clear" w:color="auto" w:fill="auto"/>
            <w:vAlign w:val="top"/>
          </w:tcPr>
          <w:p w14:paraId="7866C78D">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21"/>
                <w:szCs w:val="21"/>
                <w:lang w:val="en-US" w:eastAsia="zh-CN" w:bidi="ar-SA"/>
              </w:rPr>
            </w:pPr>
          </w:p>
        </w:tc>
        <w:tc>
          <w:tcPr>
            <w:tcW w:w="556" w:type="pct"/>
            <w:shd w:val="clear" w:color="auto" w:fill="auto"/>
            <w:vAlign w:val="top"/>
          </w:tcPr>
          <w:p w14:paraId="3C63D3B4">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21"/>
                <w:szCs w:val="21"/>
                <w:lang w:val="en-US" w:eastAsia="zh-CN" w:bidi="ar-SA"/>
              </w:rPr>
            </w:pPr>
          </w:p>
        </w:tc>
        <w:tc>
          <w:tcPr>
            <w:tcW w:w="465" w:type="pct"/>
            <w:shd w:val="clear" w:color="auto" w:fill="auto"/>
            <w:vAlign w:val="top"/>
          </w:tcPr>
          <w:p w14:paraId="6F1DA72A">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21"/>
                <w:szCs w:val="21"/>
                <w:lang w:val="en-US" w:eastAsia="zh-CN" w:bidi="ar-SA"/>
              </w:rPr>
            </w:pPr>
          </w:p>
        </w:tc>
      </w:tr>
      <w:tr w14:paraId="67CF1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 w:type="pct"/>
          </w:tcPr>
          <w:p w14:paraId="61AA7DA1">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1050" w:type="pct"/>
            <w:shd w:val="clear" w:color="auto" w:fill="auto"/>
            <w:vAlign w:val="top"/>
          </w:tcPr>
          <w:p w14:paraId="5EB37A3A">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b w:val="0"/>
                <w:bCs w:val="0"/>
                <w:sz w:val="21"/>
                <w:szCs w:val="21"/>
              </w:rPr>
              <w:t>硫铵</w:t>
            </w:r>
            <w:r>
              <w:rPr>
                <w:rFonts w:hint="default" w:ascii="Times New Roman" w:hAnsi="Times New Roman" w:eastAsia="宋体" w:cs="Times New Roman"/>
                <w:b w:val="0"/>
                <w:bCs w:val="0"/>
                <w:sz w:val="21"/>
                <w:szCs w:val="21"/>
                <w:lang w:val="en-US" w:eastAsia="zh-CN"/>
              </w:rPr>
              <w:t>+NAM</w:t>
            </w:r>
          </w:p>
        </w:tc>
        <w:tc>
          <w:tcPr>
            <w:tcW w:w="453" w:type="pct"/>
            <w:shd w:val="clear" w:color="auto" w:fill="auto"/>
            <w:vAlign w:val="top"/>
          </w:tcPr>
          <w:p w14:paraId="40C7A3CC">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b w:val="0"/>
                <w:bCs w:val="0"/>
                <w:sz w:val="21"/>
                <w:szCs w:val="21"/>
              </w:rPr>
              <w:t>66</w:t>
            </w:r>
          </w:p>
        </w:tc>
        <w:tc>
          <w:tcPr>
            <w:tcW w:w="556" w:type="pct"/>
            <w:shd w:val="clear" w:color="auto" w:fill="auto"/>
            <w:vAlign w:val="top"/>
          </w:tcPr>
          <w:p w14:paraId="5B11E7EA">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21"/>
                <w:szCs w:val="21"/>
                <w:lang w:val="en-US" w:eastAsia="zh-CN" w:bidi="ar-SA"/>
              </w:rPr>
            </w:pPr>
          </w:p>
        </w:tc>
        <w:tc>
          <w:tcPr>
            <w:tcW w:w="418" w:type="pct"/>
            <w:shd w:val="clear" w:color="auto" w:fill="auto"/>
            <w:vAlign w:val="top"/>
          </w:tcPr>
          <w:p w14:paraId="2B820F84">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21"/>
                <w:szCs w:val="21"/>
                <w:lang w:val="en-US" w:eastAsia="zh-CN" w:bidi="ar-SA"/>
              </w:rPr>
            </w:pPr>
          </w:p>
        </w:tc>
        <w:tc>
          <w:tcPr>
            <w:tcW w:w="453" w:type="pct"/>
            <w:shd w:val="clear" w:color="auto" w:fill="auto"/>
            <w:vAlign w:val="top"/>
          </w:tcPr>
          <w:p w14:paraId="765769BF">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21"/>
                <w:szCs w:val="21"/>
                <w:lang w:val="en-US" w:eastAsia="zh-CN" w:bidi="ar-SA"/>
              </w:rPr>
            </w:pPr>
          </w:p>
        </w:tc>
        <w:tc>
          <w:tcPr>
            <w:tcW w:w="556" w:type="pct"/>
            <w:shd w:val="clear" w:color="auto" w:fill="auto"/>
            <w:vAlign w:val="top"/>
          </w:tcPr>
          <w:p w14:paraId="43582F87">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21"/>
                <w:szCs w:val="21"/>
                <w:lang w:val="en-US" w:eastAsia="zh-CN" w:bidi="ar-SA"/>
              </w:rPr>
            </w:pPr>
          </w:p>
        </w:tc>
        <w:tc>
          <w:tcPr>
            <w:tcW w:w="556" w:type="pct"/>
            <w:shd w:val="clear" w:color="auto" w:fill="auto"/>
            <w:vAlign w:val="top"/>
          </w:tcPr>
          <w:p w14:paraId="6777A3E4">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21"/>
                <w:szCs w:val="21"/>
                <w:lang w:val="en-US" w:eastAsia="zh-CN" w:bidi="ar-SA"/>
              </w:rPr>
            </w:pPr>
          </w:p>
        </w:tc>
        <w:tc>
          <w:tcPr>
            <w:tcW w:w="465" w:type="pct"/>
            <w:shd w:val="clear" w:color="auto" w:fill="auto"/>
            <w:vAlign w:val="top"/>
          </w:tcPr>
          <w:p w14:paraId="70A9A489">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b w:val="0"/>
                <w:bCs w:val="0"/>
                <w:sz w:val="21"/>
                <w:szCs w:val="21"/>
              </w:rPr>
              <w:t>0.264</w:t>
            </w:r>
          </w:p>
        </w:tc>
      </w:tr>
      <w:tr w14:paraId="02A44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 w:type="pct"/>
          </w:tcPr>
          <w:p w14:paraId="152BD721">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7</w:t>
            </w:r>
          </w:p>
        </w:tc>
        <w:tc>
          <w:tcPr>
            <w:tcW w:w="1050" w:type="pct"/>
          </w:tcPr>
          <w:p w14:paraId="4DE8C40F">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24-10-12</w:t>
            </w:r>
          </w:p>
        </w:tc>
        <w:tc>
          <w:tcPr>
            <w:tcW w:w="453" w:type="pct"/>
          </w:tcPr>
          <w:p w14:paraId="75B660B1">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27.94</w:t>
            </w:r>
          </w:p>
        </w:tc>
        <w:tc>
          <w:tcPr>
            <w:tcW w:w="556" w:type="pct"/>
          </w:tcPr>
          <w:p w14:paraId="70A8600E">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418" w:type="pct"/>
          </w:tcPr>
          <w:p w14:paraId="0679FFBC">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453" w:type="pct"/>
          </w:tcPr>
          <w:p w14:paraId="11549283">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9.56</w:t>
            </w:r>
          </w:p>
        </w:tc>
        <w:tc>
          <w:tcPr>
            <w:tcW w:w="556" w:type="pct"/>
          </w:tcPr>
          <w:p w14:paraId="74855C71">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11.29</w:t>
            </w:r>
          </w:p>
        </w:tc>
        <w:tc>
          <w:tcPr>
            <w:tcW w:w="556" w:type="pct"/>
            <w:shd w:val="clear" w:color="auto" w:fill="auto"/>
            <w:vAlign w:val="center"/>
          </w:tcPr>
          <w:p w14:paraId="3B384560">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9.11 </w:t>
            </w:r>
          </w:p>
        </w:tc>
        <w:tc>
          <w:tcPr>
            <w:tcW w:w="465" w:type="pct"/>
          </w:tcPr>
          <w:p w14:paraId="78CA441F">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r>
      <w:tr w14:paraId="6EAA3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 w:type="pct"/>
          </w:tcPr>
          <w:p w14:paraId="735FBAB3">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1050" w:type="pct"/>
            <w:shd w:val="clear" w:color="auto" w:fill="auto"/>
            <w:vAlign w:val="top"/>
          </w:tcPr>
          <w:p w14:paraId="3A8A5DF7">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b w:val="0"/>
                <w:bCs w:val="0"/>
                <w:sz w:val="21"/>
                <w:szCs w:val="21"/>
              </w:rPr>
              <w:t>24-10-12</w:t>
            </w:r>
            <w:r>
              <w:rPr>
                <w:rFonts w:hint="default" w:ascii="Times New Roman" w:hAnsi="Times New Roman" w:eastAsia="宋体" w:cs="Times New Roman"/>
                <w:b w:val="0"/>
                <w:bCs w:val="0"/>
                <w:sz w:val="21"/>
                <w:szCs w:val="21"/>
                <w:lang w:val="en-US" w:eastAsia="zh-CN"/>
              </w:rPr>
              <w:t>+NAM</w:t>
            </w:r>
          </w:p>
        </w:tc>
        <w:tc>
          <w:tcPr>
            <w:tcW w:w="453" w:type="pct"/>
          </w:tcPr>
          <w:p w14:paraId="69439DBA">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27.94</w:t>
            </w:r>
          </w:p>
        </w:tc>
        <w:tc>
          <w:tcPr>
            <w:tcW w:w="556" w:type="pct"/>
          </w:tcPr>
          <w:p w14:paraId="6206CFF8">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418" w:type="pct"/>
          </w:tcPr>
          <w:p w14:paraId="3A655069">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453" w:type="pct"/>
          </w:tcPr>
          <w:p w14:paraId="5BCA9486">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9.56</w:t>
            </w:r>
          </w:p>
        </w:tc>
        <w:tc>
          <w:tcPr>
            <w:tcW w:w="556" w:type="pct"/>
          </w:tcPr>
          <w:p w14:paraId="05B0C45B">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11.29</w:t>
            </w:r>
          </w:p>
        </w:tc>
        <w:tc>
          <w:tcPr>
            <w:tcW w:w="556" w:type="pct"/>
            <w:shd w:val="clear" w:color="auto" w:fill="auto"/>
            <w:vAlign w:val="center"/>
          </w:tcPr>
          <w:p w14:paraId="69698B35">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9.11 </w:t>
            </w:r>
          </w:p>
        </w:tc>
        <w:tc>
          <w:tcPr>
            <w:tcW w:w="465" w:type="pct"/>
          </w:tcPr>
          <w:p w14:paraId="110E5A48">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0.342</w:t>
            </w:r>
          </w:p>
        </w:tc>
      </w:tr>
      <w:tr w14:paraId="78683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 w:type="pct"/>
          </w:tcPr>
          <w:p w14:paraId="1211CA1B">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8</w:t>
            </w:r>
          </w:p>
        </w:tc>
        <w:tc>
          <w:tcPr>
            <w:tcW w:w="1050" w:type="pct"/>
          </w:tcPr>
          <w:p w14:paraId="4F8319F1">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26-10-12</w:t>
            </w:r>
          </w:p>
        </w:tc>
        <w:tc>
          <w:tcPr>
            <w:tcW w:w="453" w:type="pct"/>
          </w:tcPr>
          <w:p w14:paraId="73870BDD">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28.13</w:t>
            </w:r>
          </w:p>
        </w:tc>
        <w:tc>
          <w:tcPr>
            <w:tcW w:w="556" w:type="pct"/>
          </w:tcPr>
          <w:p w14:paraId="1EDF0AE8">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418" w:type="pct"/>
          </w:tcPr>
          <w:p w14:paraId="6DB2363A">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453" w:type="pct"/>
          </w:tcPr>
          <w:p w14:paraId="68D74801">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8.82</w:t>
            </w:r>
          </w:p>
        </w:tc>
        <w:tc>
          <w:tcPr>
            <w:tcW w:w="556" w:type="pct"/>
          </w:tcPr>
          <w:p w14:paraId="25F22ECC">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10.42</w:t>
            </w:r>
          </w:p>
        </w:tc>
        <w:tc>
          <w:tcPr>
            <w:tcW w:w="556" w:type="pct"/>
            <w:shd w:val="clear" w:color="auto" w:fill="auto"/>
            <w:vAlign w:val="center"/>
          </w:tcPr>
          <w:p w14:paraId="56FA192E">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5.17 </w:t>
            </w:r>
          </w:p>
        </w:tc>
        <w:tc>
          <w:tcPr>
            <w:tcW w:w="465" w:type="pct"/>
          </w:tcPr>
          <w:p w14:paraId="53A4E814">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r>
      <w:tr w14:paraId="48547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 w:type="pct"/>
          </w:tcPr>
          <w:p w14:paraId="50FE159F">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1050" w:type="pct"/>
          </w:tcPr>
          <w:p w14:paraId="3E905CFD">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26-10-12</w:t>
            </w:r>
            <w:r>
              <w:rPr>
                <w:rFonts w:hint="default" w:ascii="Times New Roman" w:hAnsi="Times New Roman" w:eastAsia="宋体" w:cs="Times New Roman"/>
                <w:b w:val="0"/>
                <w:bCs w:val="0"/>
                <w:sz w:val="21"/>
                <w:szCs w:val="21"/>
                <w:lang w:val="en-US" w:eastAsia="zh-CN"/>
              </w:rPr>
              <w:t>+NAM</w:t>
            </w:r>
          </w:p>
        </w:tc>
        <w:tc>
          <w:tcPr>
            <w:tcW w:w="453" w:type="pct"/>
          </w:tcPr>
          <w:p w14:paraId="434C22C9">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28.13</w:t>
            </w:r>
          </w:p>
        </w:tc>
        <w:tc>
          <w:tcPr>
            <w:tcW w:w="556" w:type="pct"/>
          </w:tcPr>
          <w:p w14:paraId="5ADF60CB">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418" w:type="pct"/>
          </w:tcPr>
          <w:p w14:paraId="46913B8A">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453" w:type="pct"/>
          </w:tcPr>
          <w:p w14:paraId="4CA5F745">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8.82</w:t>
            </w:r>
          </w:p>
        </w:tc>
        <w:tc>
          <w:tcPr>
            <w:tcW w:w="556" w:type="pct"/>
          </w:tcPr>
          <w:p w14:paraId="160BFF9D">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10.42</w:t>
            </w:r>
          </w:p>
        </w:tc>
        <w:tc>
          <w:tcPr>
            <w:tcW w:w="556" w:type="pct"/>
            <w:shd w:val="clear" w:color="auto" w:fill="auto"/>
            <w:vAlign w:val="center"/>
          </w:tcPr>
          <w:p w14:paraId="6559F2F0">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5.17</w:t>
            </w:r>
          </w:p>
        </w:tc>
        <w:tc>
          <w:tcPr>
            <w:tcW w:w="465" w:type="pct"/>
          </w:tcPr>
          <w:p w14:paraId="46C9D746">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0.332</w:t>
            </w:r>
          </w:p>
        </w:tc>
      </w:tr>
      <w:tr w14:paraId="00AAF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 w:type="pct"/>
          </w:tcPr>
          <w:p w14:paraId="6C378126">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9</w:t>
            </w:r>
          </w:p>
        </w:tc>
        <w:tc>
          <w:tcPr>
            <w:tcW w:w="1050" w:type="pct"/>
          </w:tcPr>
          <w:p w14:paraId="2862772E">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22-19-16</w:t>
            </w:r>
          </w:p>
        </w:tc>
        <w:tc>
          <w:tcPr>
            <w:tcW w:w="453" w:type="pct"/>
          </w:tcPr>
          <w:p w14:paraId="6482FA99">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25.26</w:t>
            </w:r>
          </w:p>
        </w:tc>
        <w:tc>
          <w:tcPr>
            <w:tcW w:w="556" w:type="pct"/>
          </w:tcPr>
          <w:p w14:paraId="0FD4A616">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418" w:type="pct"/>
          </w:tcPr>
          <w:p w14:paraId="6BF4600C">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453" w:type="pct"/>
          </w:tcPr>
          <w:p w14:paraId="1915A632">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19.83</w:t>
            </w:r>
          </w:p>
        </w:tc>
        <w:tc>
          <w:tcPr>
            <w:tcW w:w="556" w:type="pct"/>
          </w:tcPr>
          <w:p w14:paraId="6E958D20">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16.42</w:t>
            </w:r>
          </w:p>
        </w:tc>
        <w:tc>
          <w:tcPr>
            <w:tcW w:w="556" w:type="pct"/>
          </w:tcPr>
          <w:p w14:paraId="7A53F0F8">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lang w:val="en-US" w:eastAsia="zh-CN"/>
              </w:rPr>
              <w:t>6.05</w:t>
            </w:r>
          </w:p>
        </w:tc>
        <w:tc>
          <w:tcPr>
            <w:tcW w:w="465" w:type="pct"/>
          </w:tcPr>
          <w:p w14:paraId="01504D1D">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r>
      <w:tr w14:paraId="04E61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 w:type="pct"/>
          </w:tcPr>
          <w:p w14:paraId="3AE3A1A9">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1050" w:type="pct"/>
          </w:tcPr>
          <w:p w14:paraId="49BDB0CA">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22-19-16</w:t>
            </w:r>
            <w:r>
              <w:rPr>
                <w:rFonts w:hint="default" w:ascii="Times New Roman" w:hAnsi="Times New Roman" w:eastAsia="宋体" w:cs="Times New Roman"/>
                <w:b w:val="0"/>
                <w:bCs w:val="0"/>
                <w:sz w:val="21"/>
                <w:szCs w:val="21"/>
                <w:lang w:val="en-US" w:eastAsia="zh-CN"/>
              </w:rPr>
              <w:t>+NAM</w:t>
            </w:r>
          </w:p>
        </w:tc>
        <w:tc>
          <w:tcPr>
            <w:tcW w:w="453" w:type="pct"/>
          </w:tcPr>
          <w:p w14:paraId="0D33FF31">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25.26</w:t>
            </w:r>
          </w:p>
        </w:tc>
        <w:tc>
          <w:tcPr>
            <w:tcW w:w="556" w:type="pct"/>
          </w:tcPr>
          <w:p w14:paraId="1ED1AB0F">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418" w:type="pct"/>
          </w:tcPr>
          <w:p w14:paraId="6C9C1106">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p>
        </w:tc>
        <w:tc>
          <w:tcPr>
            <w:tcW w:w="453" w:type="pct"/>
          </w:tcPr>
          <w:p w14:paraId="3A460452">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19.83</w:t>
            </w:r>
          </w:p>
        </w:tc>
        <w:tc>
          <w:tcPr>
            <w:tcW w:w="556" w:type="pct"/>
          </w:tcPr>
          <w:p w14:paraId="2B20A26B">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16.42</w:t>
            </w:r>
          </w:p>
        </w:tc>
        <w:tc>
          <w:tcPr>
            <w:tcW w:w="556" w:type="pct"/>
          </w:tcPr>
          <w:p w14:paraId="1E03BA8A">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lang w:val="en-US" w:eastAsia="zh-CN"/>
              </w:rPr>
              <w:t>6.05</w:t>
            </w:r>
          </w:p>
        </w:tc>
        <w:tc>
          <w:tcPr>
            <w:tcW w:w="465" w:type="pct"/>
          </w:tcPr>
          <w:p w14:paraId="1018078B">
            <w:pPr>
              <w:keepLines w:val="0"/>
              <w:pageBreakBefore w:val="0"/>
              <w:wordWrap/>
              <w:overflowPunct/>
              <w:topLinePunct w:val="0"/>
              <w:bidi w:val="0"/>
              <w:spacing w:line="360" w:lineRule="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0.431</w:t>
            </w:r>
          </w:p>
        </w:tc>
      </w:tr>
    </w:tbl>
    <w:p w14:paraId="614BF1F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Cs/>
          <w:sz w:val="24"/>
          <w:szCs w:val="24"/>
          <w:lang w:val="en-US" w:eastAsia="zh-CN"/>
        </w:rPr>
      </w:pPr>
    </w:p>
    <w:p w14:paraId="74AD8DB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sz w:val="24"/>
          <w:szCs w:val="24"/>
          <w:lang w:val="en-US" w:eastAsia="zh-CN"/>
        </w:rPr>
        <w:t xml:space="preserve">3.2 </w:t>
      </w:r>
      <w:r>
        <w:rPr>
          <w:rFonts w:hint="eastAsia" w:ascii="Times New Roman" w:hAnsi="Times New Roman" w:eastAsia="宋体" w:cs="Times New Roman"/>
          <w:kern w:val="2"/>
          <w:sz w:val="24"/>
          <w:szCs w:val="24"/>
          <w:lang w:val="en-US" w:eastAsia="zh-CN" w:bidi="ar-SA"/>
        </w:rPr>
        <w:t>方法和步骤</w:t>
      </w:r>
    </w:p>
    <w:p w14:paraId="4FC5B19F">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3.2.1 优化参数—膨润土</w:t>
      </w:r>
    </w:p>
    <w:p w14:paraId="2FE984A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采用表6中自配的（1）、（2）、（4）、7、8、9号样品及对应的对照样品进行测定，只是配方中均不添加膨润土。</w:t>
      </w:r>
    </w:p>
    <w:p w14:paraId="110E073F">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3.2.2 优化参数—氮添加量加倍</w:t>
      </w:r>
    </w:p>
    <w:p w14:paraId="7659F43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培养体系的肥料氮添加量设置为原本添加量的2倍、2倍和50倍。</w:t>
      </w:r>
    </w:p>
    <w:p w14:paraId="2B87C08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3.2.3 优化参数—低温显色</w:t>
      </w:r>
    </w:p>
    <w:p w14:paraId="4664870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原本的测试方法中没有规定操作温度，但因为检测结果一直不理想。通过查阅文献，发现低温有助于显色过程，加之当时为6月份，正值夏天，实验室温度高达30-32度。因此，设置从过滤到显色过程均在冰水中操作的对比。</w:t>
      </w:r>
    </w:p>
    <w:p w14:paraId="4241D93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3.2.4 优化参数—微厌氧培养环境</w:t>
      </w:r>
    </w:p>
    <w:p w14:paraId="3192FDC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原本的培养模式为盖盖，整个培养体系呈厌氧状态。通过查阅文献资料，发现有在培养容器口加具塞橡胶塞的操作，以及土壤中的硝化过程是一个好微厌氧过程，故设置盖Para膜培养模式，模拟微厌氧环境。</w:t>
      </w:r>
    </w:p>
    <w:p w14:paraId="1191A74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sz w:val="24"/>
          <w:szCs w:val="24"/>
          <w:lang w:val="en-US" w:eastAsia="zh-CN"/>
        </w:rPr>
        <w:t xml:space="preserve">3.2.5 </w:t>
      </w:r>
      <w:r>
        <w:rPr>
          <w:rFonts w:hint="eastAsia" w:ascii="Times New Roman" w:hAnsi="Times New Roman" w:eastAsia="宋体" w:cs="Times New Roman"/>
          <w:kern w:val="2"/>
          <w:sz w:val="24"/>
          <w:szCs w:val="24"/>
          <w:lang w:val="en-US" w:eastAsia="zh-CN" w:bidi="ar-SA"/>
        </w:rPr>
        <w:t>再次测试企业收集样品的土壤硝化潜势差异率</w:t>
      </w:r>
    </w:p>
    <w:p w14:paraId="66B129E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用优化参数后的土壤硝化潜势测定方法再次测定企业收集稳定性肥料样品的土壤硝化潜势差异率。肥料样品信息见表4。</w:t>
      </w:r>
    </w:p>
    <w:p w14:paraId="288B1A23">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3.3 测试结果</w:t>
      </w:r>
    </w:p>
    <w:p w14:paraId="4E81AC81">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3.3.1 参数优化试验结果</w:t>
      </w:r>
    </w:p>
    <w:p w14:paraId="31F9C9F2">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由表7中的试验结果可知，配置的样品中是否添加膨润土以及增加氮添加量不会对肥料的土壤硝化潜势产生明显的影响。显色温度对肥料样品的土壤硝化潜势影响显著，低温显色显著提高显色效率，提高方法的准确率。培养环境对肥料样品的土壤硝化潜势影响也显著，微厌氧培养环境显著提高显色效率，提高方法的准确率。</w:t>
      </w:r>
    </w:p>
    <w:p w14:paraId="37B29C00">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sz w:val="22"/>
          <w:szCs w:val="22"/>
          <w:lang w:val="en-US" w:eastAsia="zh-CN"/>
        </w:rPr>
      </w:pPr>
      <w:r>
        <w:rPr>
          <w:rFonts w:hint="eastAsia" w:ascii="Times New Roman" w:hAnsi="Times New Roman" w:eastAsia="宋体" w:cs="Times New Roman"/>
          <w:b/>
          <w:bCs/>
          <w:szCs w:val="21"/>
          <w:lang w:val="en-US" w:eastAsia="zh-CN"/>
        </w:rPr>
        <w:t>表7 优化参数样品的</w:t>
      </w:r>
      <w:r>
        <w:rPr>
          <w:rFonts w:hint="eastAsia" w:ascii="Times New Roman" w:hAnsi="Times New Roman" w:eastAsia="宋体" w:cs="Times New Roman"/>
          <w:b/>
          <w:szCs w:val="21"/>
          <w:lang w:val="en-US" w:eastAsia="zh-CN"/>
        </w:rPr>
        <w:t>土壤硝化潜势差异率（RNP）</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1398"/>
        <w:gridCol w:w="756"/>
        <w:gridCol w:w="725"/>
        <w:gridCol w:w="706"/>
        <w:gridCol w:w="725"/>
        <w:gridCol w:w="630"/>
        <w:gridCol w:w="756"/>
        <w:gridCol w:w="756"/>
        <w:gridCol w:w="756"/>
      </w:tblGrid>
      <w:tr w14:paraId="7321C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0" w:type="auto"/>
          </w:tcPr>
          <w:p w14:paraId="6E0C1C7A">
            <w:pPr>
              <w:keepLines w:val="0"/>
              <w:pageBreakBefore w:val="0"/>
              <w:wordWrap/>
              <w:overflowPunct/>
              <w:topLinePunct w:val="0"/>
              <w:bidi w:val="0"/>
              <w:spacing w:line="360" w:lineRule="auto"/>
              <w:rPr>
                <w:b w:val="0"/>
                <w:bCs w:val="0"/>
                <w:sz w:val="18"/>
                <w:szCs w:val="18"/>
                <w:highlight w:val="none"/>
              </w:rPr>
            </w:pPr>
          </w:p>
        </w:tc>
        <w:tc>
          <w:tcPr>
            <w:tcW w:w="0" w:type="auto"/>
          </w:tcPr>
          <w:p w14:paraId="651AA10C">
            <w:pPr>
              <w:keepLines w:val="0"/>
              <w:pageBreakBefore w:val="0"/>
              <w:wordWrap/>
              <w:overflowPunct/>
              <w:topLinePunct w:val="0"/>
              <w:bidi w:val="0"/>
              <w:spacing w:line="360" w:lineRule="auto"/>
              <w:rPr>
                <w:rFonts w:hint="default" w:eastAsiaTheme="minorEastAsia"/>
                <w:b w:val="0"/>
                <w:bCs w:val="0"/>
                <w:sz w:val="18"/>
                <w:szCs w:val="18"/>
                <w:highlight w:val="none"/>
                <w:lang w:val="en-US" w:eastAsia="zh-CN"/>
              </w:rPr>
            </w:pPr>
            <w:r>
              <w:rPr>
                <w:rFonts w:hint="eastAsia"/>
                <w:b w:val="0"/>
                <w:bCs w:val="0"/>
                <w:sz w:val="18"/>
                <w:szCs w:val="18"/>
                <w:highlight w:val="none"/>
                <w:lang w:val="en-US" w:eastAsia="zh-CN"/>
              </w:rPr>
              <w:t>优化参数</w:t>
            </w:r>
          </w:p>
        </w:tc>
        <w:tc>
          <w:tcPr>
            <w:tcW w:w="0" w:type="auto"/>
          </w:tcPr>
          <w:p w14:paraId="3C49F222">
            <w:pPr>
              <w:keepLines w:val="0"/>
              <w:pageBreakBefore w:val="0"/>
              <w:wordWrap/>
              <w:overflowPunct/>
              <w:topLinePunct w:val="0"/>
              <w:bidi w:val="0"/>
              <w:spacing w:line="360" w:lineRule="auto"/>
              <w:rPr>
                <w:rFonts w:hint="default" w:eastAsiaTheme="minorEastAsia"/>
                <w:b w:val="0"/>
                <w:bCs w:val="0"/>
                <w:sz w:val="18"/>
                <w:szCs w:val="18"/>
                <w:highlight w:val="none"/>
                <w:lang w:val="en-US" w:eastAsia="zh-CN"/>
              </w:rPr>
            </w:pPr>
            <w:r>
              <w:rPr>
                <w:rFonts w:hint="eastAsia" w:cstheme="minorBidi"/>
                <w:b w:val="0"/>
                <w:bCs w:val="0"/>
                <w:kern w:val="2"/>
                <w:sz w:val="18"/>
                <w:szCs w:val="18"/>
                <w:highlight w:val="none"/>
                <w:lang w:val="en-US" w:eastAsia="zh-CN" w:bidi="ar-SA"/>
              </w:rPr>
              <w:t>厌氧</w:t>
            </w:r>
          </w:p>
        </w:tc>
        <w:tc>
          <w:tcPr>
            <w:tcW w:w="0" w:type="auto"/>
          </w:tcPr>
          <w:p w14:paraId="34A438EB">
            <w:pPr>
              <w:keepLines w:val="0"/>
              <w:pageBreakBefore w:val="0"/>
              <w:wordWrap/>
              <w:overflowPunct/>
              <w:topLinePunct w:val="0"/>
              <w:bidi w:val="0"/>
              <w:spacing w:line="360" w:lineRule="auto"/>
              <w:rPr>
                <w:rFonts w:hint="default"/>
                <w:b w:val="0"/>
                <w:bCs w:val="0"/>
                <w:sz w:val="18"/>
                <w:szCs w:val="18"/>
                <w:highlight w:val="none"/>
                <w:lang w:val="en-US"/>
              </w:rPr>
            </w:pPr>
            <w:r>
              <w:rPr>
                <w:rFonts w:hint="eastAsia" w:cstheme="minorBidi"/>
                <w:b w:val="0"/>
                <w:bCs w:val="0"/>
                <w:kern w:val="2"/>
                <w:sz w:val="18"/>
                <w:szCs w:val="18"/>
                <w:highlight w:val="none"/>
                <w:lang w:val="en-US" w:eastAsia="zh-CN" w:bidi="ar-SA"/>
              </w:rPr>
              <w:t>厌氧</w:t>
            </w:r>
          </w:p>
        </w:tc>
        <w:tc>
          <w:tcPr>
            <w:tcW w:w="0" w:type="auto"/>
            <w:shd w:val="clear" w:color="auto" w:fill="auto"/>
            <w:vAlign w:val="top"/>
          </w:tcPr>
          <w:p w14:paraId="0B3DC967">
            <w:pPr>
              <w:keepLines w:val="0"/>
              <w:pageBreakBefore w:val="0"/>
              <w:wordWrap/>
              <w:overflowPunct/>
              <w:topLinePunct w:val="0"/>
              <w:bidi w:val="0"/>
              <w:spacing w:line="360" w:lineRule="auto"/>
              <w:rPr>
                <w:rFonts w:hint="default" w:ascii="Times New Roman" w:hAnsi="Times New Roman" w:eastAsia="宋体" w:cs="Times New Roman"/>
                <w:b w:val="0"/>
                <w:bCs w:val="0"/>
                <w:sz w:val="18"/>
                <w:szCs w:val="18"/>
                <w:highlight w:val="none"/>
                <w:lang w:val="en-US" w:eastAsia="zh-CN"/>
              </w:rPr>
            </w:pPr>
            <w:r>
              <w:rPr>
                <w:rFonts w:hint="eastAsia" w:cstheme="minorBidi"/>
                <w:b w:val="0"/>
                <w:bCs w:val="0"/>
                <w:kern w:val="2"/>
                <w:sz w:val="18"/>
                <w:szCs w:val="18"/>
                <w:highlight w:val="none"/>
                <w:lang w:val="en-US" w:eastAsia="zh-CN" w:bidi="ar-SA"/>
              </w:rPr>
              <w:t>厌氧</w:t>
            </w:r>
          </w:p>
        </w:tc>
        <w:tc>
          <w:tcPr>
            <w:tcW w:w="0" w:type="auto"/>
            <w:shd w:val="clear" w:color="auto" w:fill="auto"/>
            <w:vAlign w:val="top"/>
          </w:tcPr>
          <w:p w14:paraId="2C1FE861">
            <w:pPr>
              <w:keepLines w:val="0"/>
              <w:pageBreakBefore w:val="0"/>
              <w:wordWrap/>
              <w:overflowPunct/>
              <w:topLinePunct w:val="0"/>
              <w:bidi w:val="0"/>
              <w:spacing w:line="360" w:lineRule="auto"/>
              <w:rPr>
                <w:rFonts w:hint="eastAsia" w:ascii="Times New Roman" w:hAnsi="Times New Roman" w:eastAsia="宋体" w:cs="Times New Roman"/>
                <w:b w:val="0"/>
                <w:bCs w:val="0"/>
                <w:kern w:val="2"/>
                <w:sz w:val="18"/>
                <w:szCs w:val="18"/>
                <w:highlight w:val="none"/>
                <w:lang w:val="en-US" w:eastAsia="zh-CN" w:bidi="ar-SA"/>
              </w:rPr>
            </w:pPr>
            <w:r>
              <w:rPr>
                <w:rFonts w:hint="eastAsia" w:cstheme="minorBidi"/>
                <w:b w:val="0"/>
                <w:bCs w:val="0"/>
                <w:kern w:val="2"/>
                <w:sz w:val="18"/>
                <w:szCs w:val="18"/>
                <w:highlight w:val="none"/>
                <w:lang w:val="en-US" w:eastAsia="zh-CN" w:bidi="ar-SA"/>
              </w:rPr>
              <w:t>厌氧</w:t>
            </w:r>
          </w:p>
        </w:tc>
        <w:tc>
          <w:tcPr>
            <w:tcW w:w="0" w:type="auto"/>
            <w:shd w:val="clear" w:color="auto" w:fill="auto"/>
            <w:vAlign w:val="top"/>
          </w:tcPr>
          <w:p w14:paraId="616BE14A">
            <w:pPr>
              <w:keepLines w:val="0"/>
              <w:pageBreakBefore w:val="0"/>
              <w:wordWrap/>
              <w:overflowPunct/>
              <w:topLinePunct w:val="0"/>
              <w:bidi w:val="0"/>
              <w:spacing w:line="360" w:lineRule="auto"/>
              <w:rPr>
                <w:rFonts w:asciiTheme="minorHAnsi" w:hAnsiTheme="minorHAnsi" w:eastAsiaTheme="minorEastAsia" w:cstheme="minorBidi"/>
                <w:b w:val="0"/>
                <w:bCs w:val="0"/>
                <w:kern w:val="2"/>
                <w:sz w:val="18"/>
                <w:szCs w:val="18"/>
                <w:highlight w:val="none"/>
                <w:lang w:val="en-US" w:eastAsia="zh-CN" w:bidi="ar-SA"/>
              </w:rPr>
            </w:pPr>
            <w:r>
              <w:rPr>
                <w:rFonts w:hint="eastAsia" w:cstheme="minorBidi"/>
                <w:b w:val="0"/>
                <w:bCs w:val="0"/>
                <w:kern w:val="2"/>
                <w:sz w:val="18"/>
                <w:szCs w:val="18"/>
                <w:highlight w:val="none"/>
                <w:lang w:val="en-US" w:eastAsia="zh-CN" w:bidi="ar-SA"/>
              </w:rPr>
              <w:t>厌氧</w:t>
            </w:r>
          </w:p>
        </w:tc>
        <w:tc>
          <w:tcPr>
            <w:tcW w:w="0" w:type="auto"/>
            <w:shd w:val="clear" w:color="auto" w:fill="auto"/>
            <w:vAlign w:val="top"/>
          </w:tcPr>
          <w:p w14:paraId="1C81B302">
            <w:pPr>
              <w:keepLines w:val="0"/>
              <w:pageBreakBefore w:val="0"/>
              <w:wordWrap/>
              <w:overflowPunct/>
              <w:topLinePunct w:val="0"/>
              <w:bidi w:val="0"/>
              <w:spacing w:line="360" w:lineRule="auto"/>
              <w:rPr>
                <w:rFonts w:hint="default" w:cstheme="minorBidi"/>
                <w:b w:val="0"/>
                <w:bCs w:val="0"/>
                <w:kern w:val="2"/>
                <w:sz w:val="18"/>
                <w:szCs w:val="18"/>
                <w:highlight w:val="none"/>
                <w:lang w:val="en-US" w:eastAsia="zh-CN" w:bidi="ar-SA"/>
              </w:rPr>
            </w:pPr>
            <w:r>
              <w:rPr>
                <w:rFonts w:hint="eastAsia" w:cstheme="minorBidi"/>
                <w:b w:val="0"/>
                <w:bCs w:val="0"/>
                <w:kern w:val="2"/>
                <w:sz w:val="18"/>
                <w:szCs w:val="18"/>
                <w:highlight w:val="none"/>
                <w:lang w:val="en-US" w:eastAsia="zh-CN" w:bidi="ar-SA"/>
              </w:rPr>
              <w:t>微厌氧</w:t>
            </w:r>
          </w:p>
        </w:tc>
        <w:tc>
          <w:tcPr>
            <w:tcW w:w="0" w:type="auto"/>
            <w:shd w:val="clear" w:color="auto" w:fill="auto"/>
            <w:vAlign w:val="top"/>
          </w:tcPr>
          <w:p w14:paraId="1DCFC6B8">
            <w:pPr>
              <w:keepLines w:val="0"/>
              <w:pageBreakBefore w:val="0"/>
              <w:wordWrap/>
              <w:overflowPunct/>
              <w:topLinePunct w:val="0"/>
              <w:bidi w:val="0"/>
              <w:spacing w:line="360" w:lineRule="auto"/>
              <w:rPr>
                <w:rFonts w:hint="default" w:asciiTheme="minorHAnsi" w:hAnsiTheme="minorHAnsi" w:eastAsiaTheme="minorEastAsia" w:cstheme="minorBidi"/>
                <w:b w:val="0"/>
                <w:bCs w:val="0"/>
                <w:kern w:val="2"/>
                <w:sz w:val="18"/>
                <w:szCs w:val="18"/>
                <w:highlight w:val="none"/>
                <w:lang w:val="en-US" w:eastAsia="zh-CN" w:bidi="ar-SA"/>
              </w:rPr>
            </w:pPr>
            <w:r>
              <w:rPr>
                <w:rFonts w:hint="eastAsia" w:cstheme="minorBidi"/>
                <w:b w:val="0"/>
                <w:bCs w:val="0"/>
                <w:kern w:val="2"/>
                <w:sz w:val="18"/>
                <w:szCs w:val="18"/>
                <w:highlight w:val="none"/>
                <w:lang w:val="en-US" w:eastAsia="zh-CN" w:bidi="ar-SA"/>
              </w:rPr>
              <w:t>微厌氧</w:t>
            </w:r>
          </w:p>
        </w:tc>
        <w:tc>
          <w:tcPr>
            <w:tcW w:w="0" w:type="auto"/>
            <w:shd w:val="clear" w:color="auto" w:fill="auto"/>
            <w:vAlign w:val="top"/>
          </w:tcPr>
          <w:p w14:paraId="2B218A0A">
            <w:pPr>
              <w:keepLines w:val="0"/>
              <w:pageBreakBefore w:val="0"/>
              <w:wordWrap/>
              <w:overflowPunct/>
              <w:topLinePunct w:val="0"/>
              <w:bidi w:val="0"/>
              <w:spacing w:line="360" w:lineRule="auto"/>
              <w:rPr>
                <w:rFonts w:hint="default" w:asciiTheme="minorHAnsi" w:hAnsiTheme="minorHAnsi" w:eastAsiaTheme="minorEastAsia" w:cstheme="minorBidi"/>
                <w:b w:val="0"/>
                <w:bCs w:val="0"/>
                <w:kern w:val="2"/>
                <w:sz w:val="18"/>
                <w:szCs w:val="18"/>
                <w:highlight w:val="none"/>
                <w:lang w:val="en-US" w:eastAsia="zh-CN" w:bidi="ar-SA"/>
              </w:rPr>
            </w:pPr>
            <w:r>
              <w:rPr>
                <w:rFonts w:hint="eastAsia" w:cstheme="minorBidi"/>
                <w:b w:val="0"/>
                <w:bCs w:val="0"/>
                <w:kern w:val="2"/>
                <w:sz w:val="18"/>
                <w:szCs w:val="18"/>
                <w:highlight w:val="none"/>
                <w:lang w:val="en-US" w:eastAsia="zh-CN" w:bidi="ar-SA"/>
              </w:rPr>
              <w:t>微厌氧</w:t>
            </w:r>
          </w:p>
        </w:tc>
      </w:tr>
      <w:tr w14:paraId="19784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0" w:type="auto"/>
          </w:tcPr>
          <w:p w14:paraId="6F978579">
            <w:pPr>
              <w:keepLines w:val="0"/>
              <w:pageBreakBefore w:val="0"/>
              <w:wordWrap/>
              <w:overflowPunct/>
              <w:topLinePunct w:val="0"/>
              <w:bidi w:val="0"/>
              <w:spacing w:line="360" w:lineRule="auto"/>
              <w:rPr>
                <w:b w:val="0"/>
                <w:bCs w:val="0"/>
                <w:sz w:val="18"/>
                <w:szCs w:val="18"/>
                <w:highlight w:val="none"/>
              </w:rPr>
            </w:pPr>
          </w:p>
        </w:tc>
        <w:tc>
          <w:tcPr>
            <w:tcW w:w="0" w:type="auto"/>
          </w:tcPr>
          <w:p w14:paraId="21B289DD">
            <w:pPr>
              <w:keepLines w:val="0"/>
              <w:pageBreakBefore w:val="0"/>
              <w:wordWrap/>
              <w:overflowPunct/>
              <w:topLinePunct w:val="0"/>
              <w:bidi w:val="0"/>
              <w:spacing w:line="360" w:lineRule="auto"/>
              <w:rPr>
                <w:rFonts w:hint="eastAsia"/>
                <w:b w:val="0"/>
                <w:bCs w:val="0"/>
                <w:sz w:val="18"/>
                <w:szCs w:val="18"/>
                <w:highlight w:val="none"/>
                <w:lang w:val="en-US" w:eastAsia="zh-CN"/>
              </w:rPr>
            </w:pPr>
          </w:p>
        </w:tc>
        <w:tc>
          <w:tcPr>
            <w:tcW w:w="0" w:type="auto"/>
            <w:shd w:val="clear" w:color="auto" w:fill="auto"/>
            <w:vAlign w:val="top"/>
          </w:tcPr>
          <w:p w14:paraId="1404A660">
            <w:pPr>
              <w:keepLines w:val="0"/>
              <w:pageBreakBefore w:val="0"/>
              <w:wordWrap/>
              <w:overflowPunct/>
              <w:topLinePunct w:val="0"/>
              <w:bidi w:val="0"/>
              <w:spacing w:line="360" w:lineRule="auto"/>
              <w:rPr>
                <w:rFonts w:hint="eastAsia" w:asciiTheme="minorHAnsi" w:hAnsiTheme="minorHAnsi" w:eastAsiaTheme="minorEastAsia" w:cstheme="minorBidi"/>
                <w:b w:val="0"/>
                <w:bCs w:val="0"/>
                <w:kern w:val="2"/>
                <w:sz w:val="18"/>
                <w:szCs w:val="18"/>
                <w:highlight w:val="none"/>
                <w:lang w:val="en-US" w:eastAsia="zh-CN" w:bidi="ar-SA"/>
              </w:rPr>
            </w:pPr>
            <w:r>
              <w:rPr>
                <w:rFonts w:hint="eastAsia"/>
                <w:b w:val="0"/>
                <w:bCs w:val="0"/>
                <w:sz w:val="18"/>
                <w:szCs w:val="18"/>
                <w:highlight w:val="none"/>
                <w:lang w:val="en-US" w:eastAsia="zh-CN"/>
              </w:rPr>
              <w:t>膨润土</w:t>
            </w:r>
          </w:p>
        </w:tc>
        <w:tc>
          <w:tcPr>
            <w:tcW w:w="0" w:type="auto"/>
            <w:shd w:val="clear" w:color="auto" w:fill="auto"/>
            <w:vAlign w:val="top"/>
          </w:tcPr>
          <w:p w14:paraId="3DD50873">
            <w:pPr>
              <w:keepLines w:val="0"/>
              <w:pageBreakBefore w:val="0"/>
              <w:wordWrap/>
              <w:overflowPunct/>
              <w:topLinePunct w:val="0"/>
              <w:bidi w:val="0"/>
              <w:spacing w:line="360" w:lineRule="auto"/>
              <w:rPr>
                <w:rFonts w:hint="eastAsia" w:asciiTheme="minorHAnsi" w:hAnsiTheme="minorHAnsi" w:eastAsiaTheme="minorEastAsia" w:cstheme="minorBidi"/>
                <w:b w:val="0"/>
                <w:bCs w:val="0"/>
                <w:kern w:val="2"/>
                <w:sz w:val="18"/>
                <w:szCs w:val="18"/>
                <w:highlight w:val="none"/>
                <w:lang w:val="en-US" w:eastAsia="zh-CN" w:bidi="ar-SA"/>
              </w:rPr>
            </w:pPr>
            <w:r>
              <w:rPr>
                <w:rFonts w:hint="eastAsia" w:ascii="Times New Roman" w:hAnsi="Times New Roman" w:eastAsia="宋体" w:cs="Times New Roman"/>
                <w:b w:val="0"/>
                <w:bCs w:val="0"/>
                <w:kern w:val="2"/>
                <w:sz w:val="18"/>
                <w:szCs w:val="18"/>
                <w:highlight w:val="none"/>
                <w:lang w:val="en-US" w:eastAsia="zh-CN" w:bidi="ar-SA"/>
              </w:rPr>
              <w:t>N×2</w:t>
            </w:r>
          </w:p>
        </w:tc>
        <w:tc>
          <w:tcPr>
            <w:tcW w:w="0" w:type="auto"/>
            <w:shd w:val="clear" w:color="auto" w:fill="auto"/>
            <w:vAlign w:val="top"/>
          </w:tcPr>
          <w:p w14:paraId="38CD791D">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18"/>
                <w:szCs w:val="18"/>
                <w:highlight w:val="none"/>
                <w:lang w:val="en-US" w:eastAsia="zh-CN" w:bidi="ar-SA"/>
              </w:rPr>
            </w:pPr>
            <w:r>
              <w:rPr>
                <w:rFonts w:hint="eastAsia" w:ascii="Times New Roman" w:hAnsi="Times New Roman" w:eastAsia="宋体" w:cs="Times New Roman"/>
                <w:b w:val="0"/>
                <w:bCs w:val="0"/>
                <w:kern w:val="2"/>
                <w:sz w:val="18"/>
                <w:szCs w:val="18"/>
                <w:highlight w:val="none"/>
                <w:lang w:val="en-US" w:eastAsia="zh-CN" w:bidi="ar-SA"/>
              </w:rPr>
              <w:t>N×20</w:t>
            </w:r>
          </w:p>
        </w:tc>
        <w:tc>
          <w:tcPr>
            <w:tcW w:w="0" w:type="auto"/>
            <w:shd w:val="clear" w:color="auto" w:fill="auto"/>
            <w:vAlign w:val="top"/>
          </w:tcPr>
          <w:p w14:paraId="74A4498A">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18"/>
                <w:szCs w:val="18"/>
                <w:highlight w:val="none"/>
                <w:lang w:val="en-US" w:eastAsia="zh-CN" w:bidi="ar-SA"/>
              </w:rPr>
            </w:pPr>
            <w:r>
              <w:rPr>
                <w:rFonts w:hint="eastAsia" w:ascii="Times New Roman" w:hAnsi="Times New Roman" w:eastAsia="宋体" w:cs="Times New Roman"/>
                <w:b w:val="0"/>
                <w:bCs w:val="0"/>
                <w:kern w:val="2"/>
                <w:sz w:val="18"/>
                <w:szCs w:val="18"/>
                <w:highlight w:val="none"/>
                <w:lang w:val="en-US" w:eastAsia="zh-CN" w:bidi="ar-SA"/>
              </w:rPr>
              <w:t>N×50</w:t>
            </w:r>
          </w:p>
        </w:tc>
        <w:tc>
          <w:tcPr>
            <w:tcW w:w="0" w:type="auto"/>
            <w:shd w:val="clear" w:color="auto" w:fill="auto"/>
            <w:vAlign w:val="top"/>
          </w:tcPr>
          <w:p w14:paraId="0637CA5C">
            <w:pPr>
              <w:keepLines w:val="0"/>
              <w:pageBreakBefore w:val="0"/>
              <w:wordWrap/>
              <w:overflowPunct/>
              <w:topLinePunct w:val="0"/>
              <w:bidi w:val="0"/>
              <w:spacing w:line="360" w:lineRule="auto"/>
              <w:rPr>
                <w:rFonts w:hint="eastAsia" w:asciiTheme="minorHAnsi" w:hAnsiTheme="minorHAnsi" w:eastAsiaTheme="minorEastAsia" w:cstheme="minorBidi"/>
                <w:b w:val="0"/>
                <w:bCs w:val="0"/>
                <w:kern w:val="2"/>
                <w:sz w:val="18"/>
                <w:szCs w:val="18"/>
                <w:highlight w:val="none"/>
                <w:lang w:val="en-US" w:eastAsia="zh-CN" w:bidi="ar-SA"/>
              </w:rPr>
            </w:pPr>
            <w:r>
              <w:rPr>
                <w:rFonts w:hint="eastAsia" w:ascii="Times New Roman" w:hAnsi="Times New Roman" w:eastAsia="宋体" w:cs="Times New Roman"/>
                <w:b w:val="0"/>
                <w:bCs w:val="0"/>
                <w:kern w:val="2"/>
                <w:sz w:val="18"/>
                <w:szCs w:val="18"/>
                <w:highlight w:val="none"/>
                <w:lang w:val="en-US" w:eastAsia="zh-CN" w:bidi="ar-SA"/>
              </w:rPr>
              <w:t>N×2</w:t>
            </w:r>
          </w:p>
        </w:tc>
        <w:tc>
          <w:tcPr>
            <w:tcW w:w="0" w:type="auto"/>
            <w:shd w:val="clear" w:color="auto" w:fill="auto"/>
            <w:vAlign w:val="top"/>
          </w:tcPr>
          <w:p w14:paraId="3E046824">
            <w:pPr>
              <w:keepLines w:val="0"/>
              <w:pageBreakBefore w:val="0"/>
              <w:wordWrap/>
              <w:overflowPunct/>
              <w:topLinePunct w:val="0"/>
              <w:bidi w:val="0"/>
              <w:spacing w:line="360" w:lineRule="auto"/>
              <w:rPr>
                <w:rFonts w:hint="eastAsia" w:asciiTheme="minorHAnsi" w:hAnsiTheme="minorHAnsi" w:eastAsiaTheme="minorEastAsia" w:cstheme="minorBidi"/>
                <w:b w:val="0"/>
                <w:bCs w:val="0"/>
                <w:kern w:val="2"/>
                <w:sz w:val="18"/>
                <w:szCs w:val="18"/>
                <w:highlight w:val="none"/>
                <w:lang w:val="en-US" w:eastAsia="zh-CN" w:bidi="ar-SA"/>
              </w:rPr>
            </w:pPr>
            <w:r>
              <w:rPr>
                <w:rFonts w:hint="eastAsia" w:ascii="Times New Roman" w:hAnsi="Times New Roman" w:eastAsia="宋体" w:cs="Times New Roman"/>
                <w:b w:val="0"/>
                <w:bCs w:val="0"/>
                <w:kern w:val="2"/>
                <w:sz w:val="18"/>
                <w:szCs w:val="18"/>
                <w:highlight w:val="none"/>
                <w:lang w:val="en-US" w:eastAsia="zh-CN" w:bidi="ar-SA"/>
              </w:rPr>
              <w:t>N×2</w:t>
            </w:r>
          </w:p>
        </w:tc>
        <w:tc>
          <w:tcPr>
            <w:tcW w:w="0" w:type="auto"/>
            <w:shd w:val="clear" w:color="auto" w:fill="auto"/>
            <w:vAlign w:val="top"/>
          </w:tcPr>
          <w:p w14:paraId="5F76E03C">
            <w:pPr>
              <w:keepLines w:val="0"/>
              <w:pageBreakBefore w:val="0"/>
              <w:wordWrap/>
              <w:overflowPunct/>
              <w:topLinePunct w:val="0"/>
              <w:bidi w:val="0"/>
              <w:spacing w:line="360" w:lineRule="auto"/>
              <w:rPr>
                <w:rFonts w:hint="default" w:asciiTheme="minorHAnsi" w:hAnsiTheme="minorHAnsi" w:eastAsiaTheme="minorEastAsia" w:cstheme="minorBidi"/>
                <w:b w:val="0"/>
                <w:bCs w:val="0"/>
                <w:kern w:val="2"/>
                <w:sz w:val="18"/>
                <w:szCs w:val="18"/>
                <w:highlight w:val="none"/>
                <w:lang w:val="en-US" w:eastAsia="zh-CN" w:bidi="ar-SA"/>
              </w:rPr>
            </w:pPr>
            <w:r>
              <w:rPr>
                <w:rFonts w:hint="eastAsia" w:ascii="Times New Roman" w:hAnsi="Times New Roman" w:eastAsia="宋体" w:cs="Times New Roman"/>
                <w:b w:val="0"/>
                <w:bCs w:val="0"/>
                <w:kern w:val="2"/>
                <w:sz w:val="18"/>
                <w:szCs w:val="18"/>
                <w:highlight w:val="none"/>
                <w:lang w:val="en-US" w:eastAsia="zh-CN" w:bidi="ar-SA"/>
              </w:rPr>
              <w:t>N×20</w:t>
            </w:r>
          </w:p>
        </w:tc>
        <w:tc>
          <w:tcPr>
            <w:tcW w:w="0" w:type="auto"/>
            <w:shd w:val="clear" w:color="auto" w:fill="auto"/>
            <w:vAlign w:val="top"/>
          </w:tcPr>
          <w:p w14:paraId="2D61DDEC">
            <w:pPr>
              <w:keepLines w:val="0"/>
              <w:pageBreakBefore w:val="0"/>
              <w:wordWrap/>
              <w:overflowPunct/>
              <w:topLinePunct w:val="0"/>
              <w:bidi w:val="0"/>
              <w:spacing w:line="360" w:lineRule="auto"/>
              <w:rPr>
                <w:rFonts w:hint="default" w:asciiTheme="minorHAnsi" w:hAnsiTheme="minorHAnsi" w:eastAsiaTheme="minorEastAsia" w:cstheme="minorBidi"/>
                <w:b w:val="0"/>
                <w:bCs w:val="0"/>
                <w:kern w:val="2"/>
                <w:sz w:val="18"/>
                <w:szCs w:val="18"/>
                <w:highlight w:val="none"/>
                <w:lang w:val="en-US" w:eastAsia="zh-CN" w:bidi="ar-SA"/>
              </w:rPr>
            </w:pPr>
            <w:r>
              <w:rPr>
                <w:rFonts w:hint="eastAsia" w:ascii="Times New Roman" w:hAnsi="Times New Roman" w:eastAsia="宋体" w:cs="Times New Roman"/>
                <w:b w:val="0"/>
                <w:bCs w:val="0"/>
                <w:kern w:val="2"/>
                <w:sz w:val="18"/>
                <w:szCs w:val="18"/>
                <w:highlight w:val="none"/>
                <w:lang w:val="en-US" w:eastAsia="zh-CN" w:bidi="ar-SA"/>
              </w:rPr>
              <w:t>N×50</w:t>
            </w:r>
          </w:p>
        </w:tc>
      </w:tr>
      <w:tr w14:paraId="59768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0" w:type="auto"/>
          </w:tcPr>
          <w:p w14:paraId="67125287">
            <w:pPr>
              <w:keepLines w:val="0"/>
              <w:pageBreakBefore w:val="0"/>
              <w:wordWrap/>
              <w:overflowPunct/>
              <w:topLinePunct w:val="0"/>
              <w:bidi w:val="0"/>
              <w:spacing w:line="360" w:lineRule="auto"/>
              <w:rPr>
                <w:b w:val="0"/>
                <w:bCs w:val="0"/>
                <w:sz w:val="18"/>
                <w:szCs w:val="18"/>
                <w:highlight w:val="none"/>
              </w:rPr>
            </w:pPr>
          </w:p>
        </w:tc>
        <w:tc>
          <w:tcPr>
            <w:tcW w:w="0" w:type="auto"/>
          </w:tcPr>
          <w:p w14:paraId="6E6F52B0">
            <w:pPr>
              <w:keepLines w:val="0"/>
              <w:pageBreakBefore w:val="0"/>
              <w:wordWrap/>
              <w:overflowPunct/>
              <w:topLinePunct w:val="0"/>
              <w:bidi w:val="0"/>
              <w:spacing w:line="360" w:lineRule="auto"/>
              <w:rPr>
                <w:rFonts w:hint="eastAsia"/>
                <w:b w:val="0"/>
                <w:bCs w:val="0"/>
                <w:sz w:val="18"/>
                <w:szCs w:val="18"/>
                <w:highlight w:val="none"/>
                <w:lang w:val="en-US" w:eastAsia="zh-CN"/>
              </w:rPr>
            </w:pPr>
          </w:p>
        </w:tc>
        <w:tc>
          <w:tcPr>
            <w:tcW w:w="0" w:type="auto"/>
            <w:shd w:val="clear" w:color="auto" w:fill="auto"/>
            <w:vAlign w:val="top"/>
          </w:tcPr>
          <w:p w14:paraId="25E6243E">
            <w:pPr>
              <w:keepLines w:val="0"/>
              <w:pageBreakBefore w:val="0"/>
              <w:wordWrap/>
              <w:overflowPunct/>
              <w:topLinePunct w:val="0"/>
              <w:bidi w:val="0"/>
              <w:spacing w:line="360" w:lineRule="auto"/>
              <w:rPr>
                <w:rFonts w:hint="eastAsia"/>
                <w:b w:val="0"/>
                <w:bCs w:val="0"/>
                <w:sz w:val="18"/>
                <w:szCs w:val="18"/>
                <w:highlight w:val="none"/>
                <w:lang w:val="en-US" w:eastAsia="zh-CN"/>
              </w:rPr>
            </w:pPr>
          </w:p>
        </w:tc>
        <w:tc>
          <w:tcPr>
            <w:tcW w:w="0" w:type="auto"/>
            <w:shd w:val="clear" w:color="auto" w:fill="auto"/>
            <w:vAlign w:val="top"/>
          </w:tcPr>
          <w:p w14:paraId="142C181E">
            <w:pPr>
              <w:keepLines w:val="0"/>
              <w:pageBreakBefore w:val="0"/>
              <w:wordWrap/>
              <w:overflowPunct/>
              <w:topLinePunct w:val="0"/>
              <w:bidi w:val="0"/>
              <w:spacing w:line="360" w:lineRule="auto"/>
              <w:rPr>
                <w:rFonts w:hint="eastAsia" w:ascii="Times New Roman" w:hAnsi="Times New Roman" w:eastAsia="宋体" w:cs="Times New Roman"/>
                <w:b w:val="0"/>
                <w:bCs w:val="0"/>
                <w:kern w:val="2"/>
                <w:sz w:val="18"/>
                <w:szCs w:val="18"/>
                <w:highlight w:val="none"/>
                <w:lang w:val="en-US" w:eastAsia="zh-CN" w:bidi="ar-SA"/>
              </w:rPr>
            </w:pPr>
          </w:p>
        </w:tc>
        <w:tc>
          <w:tcPr>
            <w:tcW w:w="0" w:type="auto"/>
            <w:shd w:val="clear" w:color="auto" w:fill="auto"/>
            <w:vAlign w:val="top"/>
          </w:tcPr>
          <w:p w14:paraId="47CC6B69">
            <w:pPr>
              <w:keepLines w:val="0"/>
              <w:pageBreakBefore w:val="0"/>
              <w:wordWrap/>
              <w:overflowPunct/>
              <w:topLinePunct w:val="0"/>
              <w:bidi w:val="0"/>
              <w:spacing w:line="360" w:lineRule="auto"/>
              <w:rPr>
                <w:rFonts w:hint="eastAsia" w:ascii="Times New Roman" w:hAnsi="Times New Roman" w:eastAsia="宋体" w:cs="Times New Roman"/>
                <w:b w:val="0"/>
                <w:bCs w:val="0"/>
                <w:kern w:val="2"/>
                <w:sz w:val="18"/>
                <w:szCs w:val="18"/>
                <w:highlight w:val="none"/>
                <w:lang w:val="en-US" w:eastAsia="zh-CN" w:bidi="ar-SA"/>
              </w:rPr>
            </w:pPr>
          </w:p>
        </w:tc>
        <w:tc>
          <w:tcPr>
            <w:tcW w:w="0" w:type="auto"/>
            <w:shd w:val="clear" w:color="auto" w:fill="auto"/>
            <w:vAlign w:val="top"/>
          </w:tcPr>
          <w:p w14:paraId="16CBA782">
            <w:pPr>
              <w:keepLines w:val="0"/>
              <w:pageBreakBefore w:val="0"/>
              <w:wordWrap/>
              <w:overflowPunct/>
              <w:topLinePunct w:val="0"/>
              <w:bidi w:val="0"/>
              <w:spacing w:line="360" w:lineRule="auto"/>
              <w:rPr>
                <w:rFonts w:hint="eastAsia" w:ascii="Times New Roman" w:hAnsi="Times New Roman" w:eastAsia="宋体" w:cs="Times New Roman"/>
                <w:b w:val="0"/>
                <w:bCs w:val="0"/>
                <w:kern w:val="2"/>
                <w:sz w:val="18"/>
                <w:szCs w:val="18"/>
                <w:highlight w:val="none"/>
                <w:lang w:val="en-US" w:eastAsia="zh-CN" w:bidi="ar-SA"/>
              </w:rPr>
            </w:pPr>
          </w:p>
        </w:tc>
        <w:tc>
          <w:tcPr>
            <w:tcW w:w="0" w:type="auto"/>
            <w:shd w:val="clear" w:color="auto" w:fill="auto"/>
            <w:vAlign w:val="top"/>
          </w:tcPr>
          <w:p w14:paraId="783A1E67">
            <w:pPr>
              <w:keepLines w:val="0"/>
              <w:pageBreakBefore w:val="0"/>
              <w:wordWrap/>
              <w:overflowPunct/>
              <w:topLinePunct w:val="0"/>
              <w:bidi w:val="0"/>
              <w:spacing w:line="360" w:lineRule="auto"/>
              <w:rPr>
                <w:rFonts w:hint="eastAsia" w:ascii="Times New Roman" w:hAnsi="Times New Roman" w:eastAsia="宋体" w:cs="Times New Roman"/>
                <w:b w:val="0"/>
                <w:bCs w:val="0"/>
                <w:sz w:val="18"/>
                <w:szCs w:val="18"/>
                <w:highlight w:val="none"/>
                <w:lang w:val="en-US" w:eastAsia="zh-CN"/>
              </w:rPr>
            </w:pPr>
            <w:r>
              <w:rPr>
                <w:rFonts w:hint="eastAsia" w:ascii="Times New Roman" w:hAnsi="Times New Roman" w:eastAsia="宋体" w:cs="Times New Roman"/>
                <w:b w:val="0"/>
                <w:bCs w:val="0"/>
                <w:sz w:val="18"/>
                <w:szCs w:val="18"/>
                <w:highlight w:val="none"/>
                <w:lang w:val="en-US" w:eastAsia="zh-CN"/>
              </w:rPr>
              <w:t>低温</w:t>
            </w:r>
          </w:p>
        </w:tc>
        <w:tc>
          <w:tcPr>
            <w:tcW w:w="0" w:type="auto"/>
            <w:shd w:val="clear" w:color="auto" w:fill="auto"/>
            <w:vAlign w:val="top"/>
          </w:tcPr>
          <w:p w14:paraId="61BA4583">
            <w:pPr>
              <w:keepLines w:val="0"/>
              <w:pageBreakBefore w:val="0"/>
              <w:wordWrap/>
              <w:overflowPunct/>
              <w:topLinePunct w:val="0"/>
              <w:bidi w:val="0"/>
              <w:spacing w:line="360" w:lineRule="auto"/>
              <w:rPr>
                <w:rFonts w:hint="eastAsia" w:ascii="Times New Roman" w:hAnsi="Times New Roman" w:eastAsia="宋体" w:cs="Times New Roman"/>
                <w:b w:val="0"/>
                <w:bCs w:val="0"/>
                <w:kern w:val="2"/>
                <w:sz w:val="18"/>
                <w:szCs w:val="18"/>
                <w:highlight w:val="none"/>
                <w:lang w:val="en-US" w:eastAsia="zh-CN" w:bidi="ar-SA"/>
              </w:rPr>
            </w:pPr>
            <w:r>
              <w:rPr>
                <w:rFonts w:hint="eastAsia" w:ascii="Times New Roman" w:hAnsi="Times New Roman" w:eastAsia="宋体" w:cs="Times New Roman"/>
                <w:b w:val="0"/>
                <w:bCs w:val="0"/>
                <w:sz w:val="18"/>
                <w:szCs w:val="18"/>
                <w:highlight w:val="none"/>
                <w:lang w:val="en-US" w:eastAsia="zh-CN"/>
              </w:rPr>
              <w:t>低温</w:t>
            </w:r>
          </w:p>
        </w:tc>
        <w:tc>
          <w:tcPr>
            <w:tcW w:w="0" w:type="auto"/>
            <w:shd w:val="clear" w:color="auto" w:fill="auto"/>
            <w:vAlign w:val="top"/>
          </w:tcPr>
          <w:p w14:paraId="609A1928">
            <w:pPr>
              <w:keepLines w:val="0"/>
              <w:pageBreakBefore w:val="0"/>
              <w:wordWrap/>
              <w:overflowPunct/>
              <w:topLinePunct w:val="0"/>
              <w:bidi w:val="0"/>
              <w:spacing w:line="360" w:lineRule="auto"/>
              <w:rPr>
                <w:rFonts w:hint="eastAsia" w:ascii="Times New Roman" w:hAnsi="Times New Roman" w:eastAsia="宋体" w:cs="Times New Roman"/>
                <w:b w:val="0"/>
                <w:bCs w:val="0"/>
                <w:kern w:val="2"/>
                <w:sz w:val="18"/>
                <w:szCs w:val="18"/>
                <w:highlight w:val="none"/>
                <w:lang w:val="en-US" w:eastAsia="zh-CN" w:bidi="ar-SA"/>
              </w:rPr>
            </w:pPr>
            <w:r>
              <w:rPr>
                <w:rFonts w:hint="eastAsia" w:ascii="Times New Roman" w:hAnsi="Times New Roman" w:eastAsia="宋体" w:cs="Times New Roman"/>
                <w:b w:val="0"/>
                <w:bCs w:val="0"/>
                <w:sz w:val="18"/>
                <w:szCs w:val="18"/>
                <w:highlight w:val="none"/>
                <w:lang w:val="en-US" w:eastAsia="zh-CN"/>
              </w:rPr>
              <w:t>低温</w:t>
            </w:r>
          </w:p>
        </w:tc>
        <w:tc>
          <w:tcPr>
            <w:tcW w:w="0" w:type="auto"/>
            <w:shd w:val="clear" w:color="auto" w:fill="auto"/>
            <w:vAlign w:val="top"/>
          </w:tcPr>
          <w:p w14:paraId="616E265B">
            <w:pPr>
              <w:keepLines w:val="0"/>
              <w:pageBreakBefore w:val="0"/>
              <w:wordWrap/>
              <w:overflowPunct/>
              <w:topLinePunct w:val="0"/>
              <w:bidi w:val="0"/>
              <w:spacing w:line="360" w:lineRule="auto"/>
              <w:rPr>
                <w:rFonts w:hint="eastAsia" w:ascii="Times New Roman" w:hAnsi="Times New Roman" w:eastAsia="宋体" w:cs="Times New Roman"/>
                <w:b w:val="0"/>
                <w:bCs w:val="0"/>
                <w:kern w:val="2"/>
                <w:sz w:val="18"/>
                <w:szCs w:val="18"/>
                <w:highlight w:val="none"/>
                <w:lang w:val="en-US" w:eastAsia="zh-CN" w:bidi="ar-SA"/>
              </w:rPr>
            </w:pPr>
            <w:r>
              <w:rPr>
                <w:rFonts w:hint="eastAsia" w:ascii="Times New Roman" w:hAnsi="Times New Roman" w:eastAsia="宋体" w:cs="Times New Roman"/>
                <w:b w:val="0"/>
                <w:bCs w:val="0"/>
                <w:sz w:val="18"/>
                <w:szCs w:val="18"/>
                <w:highlight w:val="none"/>
                <w:lang w:val="en-US" w:eastAsia="zh-CN"/>
              </w:rPr>
              <w:t>低温</w:t>
            </w:r>
          </w:p>
        </w:tc>
      </w:tr>
      <w:tr w14:paraId="38A61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0" w:type="auto"/>
            <w:shd w:val="clear" w:color="auto" w:fill="auto"/>
            <w:vAlign w:val="top"/>
          </w:tcPr>
          <w:p w14:paraId="5C1A106B">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p>
        </w:tc>
        <w:tc>
          <w:tcPr>
            <w:tcW w:w="0" w:type="auto"/>
            <w:shd w:val="clear" w:color="auto" w:fill="auto"/>
            <w:vAlign w:val="top"/>
          </w:tcPr>
          <w:p w14:paraId="75B50D2F">
            <w:pPr>
              <w:keepLines w:val="0"/>
              <w:pageBreakBefore w:val="0"/>
              <w:wordWrap/>
              <w:overflowPunct/>
              <w:topLinePunct w:val="0"/>
              <w:bidi w:val="0"/>
              <w:spacing w:line="360" w:lineRule="auto"/>
              <w:rPr>
                <w:rFonts w:hint="eastAsia" w:ascii="Times New Roman" w:hAnsi="Times New Roman" w:cs="Times New Roman" w:eastAsiaTheme="minorEastAsia"/>
                <w:b w:val="0"/>
                <w:bCs w:val="0"/>
                <w:kern w:val="2"/>
                <w:sz w:val="18"/>
                <w:szCs w:val="18"/>
                <w:highlight w:val="none"/>
                <w:lang w:val="en-US" w:eastAsia="zh-CN" w:bidi="ar-SA"/>
              </w:rPr>
            </w:pPr>
          </w:p>
        </w:tc>
        <w:tc>
          <w:tcPr>
            <w:tcW w:w="0" w:type="auto"/>
          </w:tcPr>
          <w:p w14:paraId="7ED1BA02">
            <w:pPr>
              <w:keepLines w:val="0"/>
              <w:pageBreakBefore w:val="0"/>
              <w:wordWrap/>
              <w:overflowPunct/>
              <w:topLinePunct w:val="0"/>
              <w:bidi w:val="0"/>
              <w:spacing w:line="360" w:lineRule="auto"/>
              <w:rPr>
                <w:rFonts w:hint="eastAsia" w:ascii="Times New Roman" w:hAnsi="Times New Roman" w:eastAsia="宋体" w:cs="Times New Roman"/>
                <w:b w:val="0"/>
                <w:bCs w:val="0"/>
                <w:sz w:val="18"/>
                <w:szCs w:val="18"/>
                <w:highlight w:val="none"/>
                <w:lang w:val="en-US" w:eastAsia="zh-CN"/>
              </w:rPr>
            </w:pPr>
            <w:r>
              <w:rPr>
                <w:rFonts w:hint="eastAsia" w:ascii="Times New Roman" w:hAnsi="Times New Roman" w:eastAsia="宋体" w:cs="Times New Roman"/>
                <w:b w:val="0"/>
                <w:bCs w:val="0"/>
                <w:sz w:val="18"/>
                <w:szCs w:val="18"/>
                <w:highlight w:val="none"/>
                <w:lang w:val="en-US" w:eastAsia="zh-CN"/>
              </w:rPr>
              <w:t>RNP</w:t>
            </w:r>
          </w:p>
          <w:p w14:paraId="6C9FFB2B">
            <w:pPr>
              <w:keepLines w:val="0"/>
              <w:pageBreakBefore w:val="0"/>
              <w:wordWrap/>
              <w:overflowPunct/>
              <w:topLinePunct w:val="0"/>
              <w:bidi w:val="0"/>
              <w:spacing w:line="360" w:lineRule="auto"/>
              <w:rPr>
                <w:b w:val="0"/>
                <w:bCs w:val="0"/>
                <w:sz w:val="18"/>
                <w:szCs w:val="18"/>
                <w:highlight w:val="none"/>
              </w:rPr>
            </w:pPr>
            <w:r>
              <w:rPr>
                <w:rFonts w:hint="eastAsia" w:ascii="Times New Roman" w:hAnsi="Times New Roman" w:eastAsia="宋体" w:cs="Times New Roman"/>
                <w:b w:val="0"/>
                <w:bCs w:val="0"/>
                <w:sz w:val="18"/>
                <w:szCs w:val="18"/>
                <w:highlight w:val="none"/>
                <w:lang w:val="en-US" w:eastAsia="zh-CN"/>
              </w:rPr>
              <w:t>%</w:t>
            </w:r>
          </w:p>
        </w:tc>
        <w:tc>
          <w:tcPr>
            <w:tcW w:w="0" w:type="auto"/>
          </w:tcPr>
          <w:p w14:paraId="4266698B">
            <w:pPr>
              <w:keepLines w:val="0"/>
              <w:pageBreakBefore w:val="0"/>
              <w:wordWrap/>
              <w:overflowPunct/>
              <w:topLinePunct w:val="0"/>
              <w:bidi w:val="0"/>
              <w:spacing w:line="360" w:lineRule="auto"/>
              <w:rPr>
                <w:rFonts w:hint="eastAsia" w:ascii="Times New Roman" w:hAnsi="Times New Roman" w:eastAsia="宋体" w:cs="Times New Roman"/>
                <w:b w:val="0"/>
                <w:bCs w:val="0"/>
                <w:sz w:val="18"/>
                <w:szCs w:val="18"/>
                <w:highlight w:val="none"/>
                <w:lang w:val="en-US" w:eastAsia="zh-CN"/>
              </w:rPr>
            </w:pPr>
            <w:r>
              <w:rPr>
                <w:rFonts w:hint="eastAsia" w:ascii="Times New Roman" w:hAnsi="Times New Roman" w:eastAsia="宋体" w:cs="Times New Roman"/>
                <w:b w:val="0"/>
                <w:bCs w:val="0"/>
                <w:sz w:val="18"/>
                <w:szCs w:val="18"/>
                <w:highlight w:val="none"/>
                <w:lang w:val="en-US" w:eastAsia="zh-CN"/>
              </w:rPr>
              <w:t>RNP</w:t>
            </w:r>
          </w:p>
          <w:p w14:paraId="4A7B5C42">
            <w:pPr>
              <w:keepLines w:val="0"/>
              <w:pageBreakBefore w:val="0"/>
              <w:wordWrap/>
              <w:overflowPunct/>
              <w:topLinePunct w:val="0"/>
              <w:bidi w:val="0"/>
              <w:spacing w:line="360" w:lineRule="auto"/>
              <w:rPr>
                <w:rFonts w:hint="eastAsia" w:ascii="Times New Roman" w:hAnsi="Times New Roman" w:eastAsia="宋体" w:cs="Times New Roman"/>
                <w:b w:val="0"/>
                <w:bCs w:val="0"/>
                <w:sz w:val="18"/>
                <w:szCs w:val="18"/>
                <w:highlight w:val="none"/>
                <w:lang w:val="en-US" w:eastAsia="zh-CN"/>
              </w:rPr>
            </w:pPr>
            <w:r>
              <w:rPr>
                <w:rFonts w:hint="eastAsia" w:ascii="Times New Roman" w:hAnsi="Times New Roman" w:eastAsia="宋体" w:cs="Times New Roman"/>
                <w:b w:val="0"/>
                <w:bCs w:val="0"/>
                <w:sz w:val="18"/>
                <w:szCs w:val="18"/>
                <w:highlight w:val="none"/>
                <w:lang w:val="en-US" w:eastAsia="zh-CN"/>
              </w:rPr>
              <w:t>%</w:t>
            </w:r>
          </w:p>
        </w:tc>
        <w:tc>
          <w:tcPr>
            <w:tcW w:w="0" w:type="auto"/>
            <w:shd w:val="clear" w:color="auto" w:fill="auto"/>
            <w:vAlign w:val="top"/>
          </w:tcPr>
          <w:p w14:paraId="02BDB74C">
            <w:pPr>
              <w:keepLines w:val="0"/>
              <w:pageBreakBefore w:val="0"/>
              <w:wordWrap/>
              <w:overflowPunct/>
              <w:topLinePunct w:val="0"/>
              <w:bidi w:val="0"/>
              <w:spacing w:line="360" w:lineRule="auto"/>
              <w:rPr>
                <w:rFonts w:hint="eastAsia" w:ascii="Times New Roman" w:hAnsi="Times New Roman" w:eastAsia="宋体" w:cs="Times New Roman"/>
                <w:b w:val="0"/>
                <w:bCs w:val="0"/>
                <w:sz w:val="18"/>
                <w:szCs w:val="18"/>
                <w:highlight w:val="none"/>
                <w:lang w:val="en-US" w:eastAsia="zh-CN"/>
              </w:rPr>
            </w:pPr>
            <w:r>
              <w:rPr>
                <w:rFonts w:hint="eastAsia" w:ascii="Times New Roman" w:hAnsi="Times New Roman" w:eastAsia="宋体" w:cs="Times New Roman"/>
                <w:b w:val="0"/>
                <w:bCs w:val="0"/>
                <w:sz w:val="18"/>
                <w:szCs w:val="18"/>
                <w:highlight w:val="none"/>
                <w:lang w:val="en-US" w:eastAsia="zh-CN"/>
              </w:rPr>
              <w:t>RNP</w:t>
            </w:r>
          </w:p>
          <w:p w14:paraId="3F090EFC">
            <w:pPr>
              <w:keepLines w:val="0"/>
              <w:pageBreakBefore w:val="0"/>
              <w:wordWrap/>
              <w:overflowPunct/>
              <w:topLinePunct w:val="0"/>
              <w:bidi w:val="0"/>
              <w:spacing w:line="360" w:lineRule="auto"/>
              <w:rPr>
                <w:rFonts w:hint="eastAsia" w:ascii="Times New Roman" w:hAnsi="Times New Roman" w:eastAsia="宋体" w:cs="Times New Roman"/>
                <w:b w:val="0"/>
                <w:bCs w:val="0"/>
                <w:sz w:val="18"/>
                <w:szCs w:val="18"/>
                <w:highlight w:val="none"/>
                <w:lang w:val="en-US" w:eastAsia="zh-CN"/>
              </w:rPr>
            </w:pPr>
            <w:r>
              <w:rPr>
                <w:rFonts w:hint="eastAsia" w:ascii="Times New Roman" w:hAnsi="Times New Roman" w:eastAsia="宋体" w:cs="Times New Roman"/>
                <w:b w:val="0"/>
                <w:bCs w:val="0"/>
                <w:sz w:val="18"/>
                <w:szCs w:val="18"/>
                <w:highlight w:val="none"/>
                <w:lang w:val="en-US" w:eastAsia="zh-CN"/>
              </w:rPr>
              <w:t>%</w:t>
            </w:r>
          </w:p>
        </w:tc>
        <w:tc>
          <w:tcPr>
            <w:tcW w:w="0" w:type="auto"/>
            <w:shd w:val="clear" w:color="auto" w:fill="auto"/>
            <w:vAlign w:val="top"/>
          </w:tcPr>
          <w:p w14:paraId="4E1594F2">
            <w:pPr>
              <w:keepLines w:val="0"/>
              <w:pageBreakBefore w:val="0"/>
              <w:wordWrap/>
              <w:overflowPunct/>
              <w:topLinePunct w:val="0"/>
              <w:bidi w:val="0"/>
              <w:spacing w:line="360" w:lineRule="auto"/>
              <w:rPr>
                <w:rFonts w:hint="eastAsia" w:ascii="Times New Roman" w:hAnsi="Times New Roman" w:eastAsia="宋体" w:cs="Times New Roman"/>
                <w:b w:val="0"/>
                <w:bCs w:val="0"/>
                <w:sz w:val="18"/>
                <w:szCs w:val="18"/>
                <w:highlight w:val="none"/>
                <w:lang w:val="en-US" w:eastAsia="zh-CN"/>
              </w:rPr>
            </w:pPr>
            <w:r>
              <w:rPr>
                <w:rFonts w:hint="eastAsia" w:ascii="Times New Roman" w:hAnsi="Times New Roman" w:eastAsia="宋体" w:cs="Times New Roman"/>
                <w:b w:val="0"/>
                <w:bCs w:val="0"/>
                <w:sz w:val="18"/>
                <w:szCs w:val="18"/>
                <w:highlight w:val="none"/>
                <w:lang w:val="en-US" w:eastAsia="zh-CN"/>
              </w:rPr>
              <w:t>RNP</w:t>
            </w:r>
          </w:p>
          <w:p w14:paraId="13A44D58">
            <w:pPr>
              <w:keepLines w:val="0"/>
              <w:pageBreakBefore w:val="0"/>
              <w:wordWrap/>
              <w:overflowPunct/>
              <w:topLinePunct w:val="0"/>
              <w:bidi w:val="0"/>
              <w:spacing w:line="360" w:lineRule="auto"/>
              <w:rPr>
                <w:rFonts w:hint="eastAsia" w:ascii="Times New Roman" w:hAnsi="Times New Roman" w:eastAsia="宋体" w:cs="Times New Roman"/>
                <w:b w:val="0"/>
                <w:bCs w:val="0"/>
                <w:sz w:val="18"/>
                <w:szCs w:val="18"/>
                <w:highlight w:val="none"/>
                <w:lang w:val="en-US" w:eastAsia="zh-CN"/>
              </w:rPr>
            </w:pPr>
            <w:r>
              <w:rPr>
                <w:rFonts w:hint="eastAsia" w:ascii="Times New Roman" w:hAnsi="Times New Roman" w:eastAsia="宋体" w:cs="Times New Roman"/>
                <w:b w:val="0"/>
                <w:bCs w:val="0"/>
                <w:sz w:val="18"/>
                <w:szCs w:val="18"/>
                <w:highlight w:val="none"/>
                <w:lang w:val="en-US" w:eastAsia="zh-CN"/>
              </w:rPr>
              <w:t>%</w:t>
            </w:r>
          </w:p>
        </w:tc>
        <w:tc>
          <w:tcPr>
            <w:tcW w:w="0" w:type="auto"/>
            <w:shd w:val="clear" w:color="auto" w:fill="auto"/>
            <w:vAlign w:val="top"/>
          </w:tcPr>
          <w:p w14:paraId="1AF5AEEB">
            <w:pPr>
              <w:keepLines w:val="0"/>
              <w:pageBreakBefore w:val="0"/>
              <w:wordWrap/>
              <w:overflowPunct/>
              <w:topLinePunct w:val="0"/>
              <w:bidi w:val="0"/>
              <w:spacing w:line="360" w:lineRule="auto"/>
              <w:rPr>
                <w:rFonts w:hint="eastAsia" w:ascii="Times New Roman" w:hAnsi="Times New Roman" w:eastAsia="宋体" w:cs="Times New Roman"/>
                <w:b w:val="0"/>
                <w:bCs w:val="0"/>
                <w:sz w:val="18"/>
                <w:szCs w:val="18"/>
                <w:highlight w:val="none"/>
                <w:lang w:val="en-US" w:eastAsia="zh-CN"/>
              </w:rPr>
            </w:pPr>
            <w:r>
              <w:rPr>
                <w:rFonts w:hint="eastAsia" w:ascii="Times New Roman" w:hAnsi="Times New Roman" w:eastAsia="宋体" w:cs="Times New Roman"/>
                <w:b w:val="0"/>
                <w:bCs w:val="0"/>
                <w:sz w:val="18"/>
                <w:szCs w:val="18"/>
                <w:highlight w:val="none"/>
                <w:lang w:val="en-US" w:eastAsia="zh-CN"/>
              </w:rPr>
              <w:t>RNP</w:t>
            </w:r>
          </w:p>
          <w:p w14:paraId="6D51BD2B">
            <w:pPr>
              <w:keepLines w:val="0"/>
              <w:pageBreakBefore w:val="0"/>
              <w:wordWrap/>
              <w:overflowPunct/>
              <w:topLinePunct w:val="0"/>
              <w:bidi w:val="0"/>
              <w:spacing w:line="360" w:lineRule="auto"/>
              <w:rPr>
                <w:rFonts w:asciiTheme="minorHAnsi" w:hAnsiTheme="minorHAnsi" w:eastAsiaTheme="minorEastAsia" w:cstheme="minorBidi"/>
                <w:b w:val="0"/>
                <w:bCs w:val="0"/>
                <w:kern w:val="2"/>
                <w:sz w:val="18"/>
                <w:szCs w:val="18"/>
                <w:highlight w:val="none"/>
                <w:lang w:val="en-US" w:eastAsia="zh-CN" w:bidi="ar-SA"/>
              </w:rPr>
            </w:pPr>
            <w:r>
              <w:rPr>
                <w:rFonts w:hint="eastAsia" w:ascii="Times New Roman" w:hAnsi="Times New Roman" w:eastAsia="宋体" w:cs="Times New Roman"/>
                <w:b w:val="0"/>
                <w:bCs w:val="0"/>
                <w:sz w:val="18"/>
                <w:szCs w:val="18"/>
                <w:highlight w:val="none"/>
                <w:lang w:val="en-US" w:eastAsia="zh-CN"/>
              </w:rPr>
              <w:t>%</w:t>
            </w:r>
          </w:p>
        </w:tc>
        <w:tc>
          <w:tcPr>
            <w:tcW w:w="0" w:type="auto"/>
            <w:shd w:val="clear" w:color="auto" w:fill="auto"/>
            <w:vAlign w:val="top"/>
          </w:tcPr>
          <w:p w14:paraId="587424A0">
            <w:pPr>
              <w:keepLines w:val="0"/>
              <w:pageBreakBefore w:val="0"/>
              <w:wordWrap/>
              <w:overflowPunct/>
              <w:topLinePunct w:val="0"/>
              <w:bidi w:val="0"/>
              <w:spacing w:line="360" w:lineRule="auto"/>
              <w:rPr>
                <w:rFonts w:hint="eastAsia" w:ascii="Times New Roman" w:hAnsi="Times New Roman" w:eastAsia="宋体" w:cs="Times New Roman"/>
                <w:b w:val="0"/>
                <w:bCs w:val="0"/>
                <w:sz w:val="18"/>
                <w:szCs w:val="18"/>
                <w:highlight w:val="none"/>
                <w:lang w:val="en-US" w:eastAsia="zh-CN"/>
              </w:rPr>
            </w:pPr>
            <w:r>
              <w:rPr>
                <w:rFonts w:hint="eastAsia" w:ascii="Times New Roman" w:hAnsi="Times New Roman" w:eastAsia="宋体" w:cs="Times New Roman"/>
                <w:b w:val="0"/>
                <w:bCs w:val="0"/>
                <w:sz w:val="18"/>
                <w:szCs w:val="18"/>
                <w:highlight w:val="none"/>
                <w:lang w:val="en-US" w:eastAsia="zh-CN"/>
              </w:rPr>
              <w:t>RNP</w:t>
            </w:r>
          </w:p>
          <w:p w14:paraId="6DF2DC23">
            <w:pPr>
              <w:keepLines w:val="0"/>
              <w:pageBreakBefore w:val="0"/>
              <w:wordWrap/>
              <w:overflowPunct/>
              <w:topLinePunct w:val="0"/>
              <w:bidi w:val="0"/>
              <w:spacing w:line="360" w:lineRule="auto"/>
              <w:rPr>
                <w:rFonts w:asciiTheme="minorHAnsi" w:hAnsiTheme="minorHAnsi" w:eastAsiaTheme="minorEastAsia" w:cstheme="minorBidi"/>
                <w:b w:val="0"/>
                <w:bCs w:val="0"/>
                <w:kern w:val="2"/>
                <w:sz w:val="18"/>
                <w:szCs w:val="18"/>
                <w:highlight w:val="none"/>
                <w:lang w:val="en-US" w:eastAsia="zh-CN" w:bidi="ar-SA"/>
              </w:rPr>
            </w:pPr>
            <w:r>
              <w:rPr>
                <w:rFonts w:hint="eastAsia" w:ascii="Times New Roman" w:hAnsi="Times New Roman" w:eastAsia="宋体" w:cs="Times New Roman"/>
                <w:b w:val="0"/>
                <w:bCs w:val="0"/>
                <w:sz w:val="18"/>
                <w:szCs w:val="18"/>
                <w:highlight w:val="none"/>
                <w:lang w:val="en-US" w:eastAsia="zh-CN"/>
              </w:rPr>
              <w:t>%</w:t>
            </w:r>
          </w:p>
        </w:tc>
        <w:tc>
          <w:tcPr>
            <w:tcW w:w="0" w:type="auto"/>
            <w:shd w:val="clear" w:color="auto" w:fill="auto"/>
            <w:vAlign w:val="top"/>
          </w:tcPr>
          <w:p w14:paraId="70038326">
            <w:pPr>
              <w:keepLines w:val="0"/>
              <w:pageBreakBefore w:val="0"/>
              <w:wordWrap/>
              <w:overflowPunct/>
              <w:topLinePunct w:val="0"/>
              <w:bidi w:val="0"/>
              <w:spacing w:line="360" w:lineRule="auto"/>
              <w:rPr>
                <w:rFonts w:hint="eastAsia" w:ascii="Times New Roman" w:hAnsi="Times New Roman" w:eastAsia="宋体" w:cs="Times New Roman"/>
                <w:b w:val="0"/>
                <w:bCs w:val="0"/>
                <w:sz w:val="18"/>
                <w:szCs w:val="18"/>
                <w:highlight w:val="none"/>
                <w:lang w:val="en-US" w:eastAsia="zh-CN"/>
              </w:rPr>
            </w:pPr>
            <w:r>
              <w:rPr>
                <w:rFonts w:hint="eastAsia" w:ascii="Times New Roman" w:hAnsi="Times New Roman" w:eastAsia="宋体" w:cs="Times New Roman"/>
                <w:b w:val="0"/>
                <w:bCs w:val="0"/>
                <w:sz w:val="18"/>
                <w:szCs w:val="18"/>
                <w:highlight w:val="none"/>
                <w:lang w:val="en-US" w:eastAsia="zh-CN"/>
              </w:rPr>
              <w:t>RNP</w:t>
            </w:r>
          </w:p>
          <w:p w14:paraId="41B8621E">
            <w:pPr>
              <w:keepLines w:val="0"/>
              <w:pageBreakBefore w:val="0"/>
              <w:wordWrap/>
              <w:overflowPunct/>
              <w:topLinePunct w:val="0"/>
              <w:bidi w:val="0"/>
              <w:spacing w:line="360" w:lineRule="auto"/>
              <w:rPr>
                <w:rFonts w:asciiTheme="minorHAnsi" w:hAnsiTheme="minorHAnsi" w:eastAsiaTheme="minorEastAsia" w:cstheme="minorBidi"/>
                <w:b w:val="0"/>
                <w:bCs w:val="0"/>
                <w:kern w:val="2"/>
                <w:sz w:val="18"/>
                <w:szCs w:val="18"/>
                <w:highlight w:val="none"/>
                <w:lang w:val="en-US" w:eastAsia="zh-CN" w:bidi="ar-SA"/>
              </w:rPr>
            </w:pPr>
            <w:r>
              <w:rPr>
                <w:rFonts w:hint="eastAsia" w:ascii="Times New Roman" w:hAnsi="Times New Roman" w:eastAsia="宋体" w:cs="Times New Roman"/>
                <w:b w:val="0"/>
                <w:bCs w:val="0"/>
                <w:sz w:val="18"/>
                <w:szCs w:val="18"/>
                <w:highlight w:val="none"/>
                <w:lang w:val="en-US" w:eastAsia="zh-CN"/>
              </w:rPr>
              <w:t>%</w:t>
            </w:r>
          </w:p>
        </w:tc>
        <w:tc>
          <w:tcPr>
            <w:tcW w:w="0" w:type="auto"/>
            <w:shd w:val="clear" w:color="auto" w:fill="auto"/>
            <w:vAlign w:val="top"/>
          </w:tcPr>
          <w:p w14:paraId="71C4C38B">
            <w:pPr>
              <w:keepLines w:val="0"/>
              <w:pageBreakBefore w:val="0"/>
              <w:wordWrap/>
              <w:overflowPunct/>
              <w:topLinePunct w:val="0"/>
              <w:bidi w:val="0"/>
              <w:spacing w:line="360" w:lineRule="auto"/>
              <w:rPr>
                <w:rFonts w:hint="eastAsia" w:ascii="Times New Roman" w:hAnsi="Times New Roman" w:eastAsia="宋体" w:cs="Times New Roman"/>
                <w:b w:val="0"/>
                <w:bCs w:val="0"/>
                <w:sz w:val="18"/>
                <w:szCs w:val="18"/>
                <w:highlight w:val="none"/>
                <w:lang w:val="en-US" w:eastAsia="zh-CN"/>
              </w:rPr>
            </w:pPr>
            <w:r>
              <w:rPr>
                <w:rFonts w:hint="eastAsia" w:ascii="Times New Roman" w:hAnsi="Times New Roman" w:eastAsia="宋体" w:cs="Times New Roman"/>
                <w:b w:val="0"/>
                <w:bCs w:val="0"/>
                <w:sz w:val="18"/>
                <w:szCs w:val="18"/>
                <w:highlight w:val="none"/>
                <w:lang w:val="en-US" w:eastAsia="zh-CN"/>
              </w:rPr>
              <w:t>RNP</w:t>
            </w:r>
          </w:p>
          <w:p w14:paraId="79B7A0B3">
            <w:pPr>
              <w:keepLines w:val="0"/>
              <w:pageBreakBefore w:val="0"/>
              <w:wordWrap/>
              <w:overflowPunct/>
              <w:topLinePunct w:val="0"/>
              <w:bidi w:val="0"/>
              <w:spacing w:line="360" w:lineRule="auto"/>
              <w:rPr>
                <w:rFonts w:asciiTheme="minorHAnsi" w:hAnsiTheme="minorHAnsi" w:eastAsiaTheme="minorEastAsia" w:cstheme="minorBidi"/>
                <w:b w:val="0"/>
                <w:bCs w:val="0"/>
                <w:kern w:val="2"/>
                <w:sz w:val="18"/>
                <w:szCs w:val="18"/>
                <w:highlight w:val="none"/>
                <w:lang w:val="en-US" w:eastAsia="zh-CN" w:bidi="ar-SA"/>
              </w:rPr>
            </w:pPr>
            <w:r>
              <w:rPr>
                <w:rFonts w:hint="eastAsia" w:ascii="Times New Roman" w:hAnsi="Times New Roman" w:eastAsia="宋体" w:cs="Times New Roman"/>
                <w:b w:val="0"/>
                <w:bCs w:val="0"/>
                <w:sz w:val="18"/>
                <w:szCs w:val="18"/>
                <w:highlight w:val="none"/>
                <w:lang w:val="en-US" w:eastAsia="zh-CN"/>
              </w:rPr>
              <w:t>%</w:t>
            </w:r>
          </w:p>
        </w:tc>
      </w:tr>
      <w:tr w14:paraId="7403A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AE7EAE6">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r>
              <w:rPr>
                <w:rFonts w:hint="default" w:ascii="Times New Roman" w:hAnsi="Times New Roman" w:cs="Times New Roman"/>
                <w:b w:val="0"/>
                <w:bCs w:val="0"/>
                <w:sz w:val="18"/>
                <w:szCs w:val="18"/>
                <w:highlight w:val="none"/>
              </w:rPr>
              <w:t>（1）</w:t>
            </w:r>
          </w:p>
        </w:tc>
        <w:tc>
          <w:tcPr>
            <w:tcW w:w="0" w:type="auto"/>
            <w:shd w:val="clear" w:color="auto" w:fill="auto"/>
            <w:vAlign w:val="top"/>
          </w:tcPr>
          <w:p w14:paraId="1C2F6660">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r>
              <w:rPr>
                <w:rFonts w:hint="default" w:ascii="Times New Roman" w:hAnsi="Times New Roman" w:cs="Times New Roman"/>
                <w:b w:val="0"/>
                <w:bCs w:val="0"/>
                <w:sz w:val="18"/>
                <w:szCs w:val="18"/>
                <w:highlight w:val="none"/>
              </w:rPr>
              <w:t>尿素</w:t>
            </w:r>
          </w:p>
        </w:tc>
        <w:tc>
          <w:tcPr>
            <w:tcW w:w="0" w:type="auto"/>
          </w:tcPr>
          <w:p w14:paraId="55E633E8">
            <w:pPr>
              <w:keepLines w:val="0"/>
              <w:pageBreakBefore w:val="0"/>
              <w:wordWrap/>
              <w:overflowPunct/>
              <w:topLinePunct w:val="0"/>
              <w:bidi w:val="0"/>
              <w:spacing w:line="360" w:lineRule="auto"/>
              <w:rPr>
                <w:b w:val="0"/>
                <w:bCs w:val="0"/>
                <w:sz w:val="18"/>
                <w:szCs w:val="18"/>
                <w:highlight w:val="none"/>
              </w:rPr>
            </w:pPr>
          </w:p>
        </w:tc>
        <w:tc>
          <w:tcPr>
            <w:tcW w:w="0" w:type="auto"/>
          </w:tcPr>
          <w:p w14:paraId="351A712F">
            <w:pPr>
              <w:keepLines w:val="0"/>
              <w:pageBreakBefore w:val="0"/>
              <w:wordWrap/>
              <w:overflowPunct/>
              <w:topLinePunct w:val="0"/>
              <w:bidi w:val="0"/>
              <w:spacing w:line="360" w:lineRule="auto"/>
              <w:rPr>
                <w:b w:val="0"/>
                <w:bCs w:val="0"/>
                <w:sz w:val="18"/>
                <w:szCs w:val="18"/>
                <w:highlight w:val="none"/>
              </w:rPr>
            </w:pPr>
          </w:p>
        </w:tc>
        <w:tc>
          <w:tcPr>
            <w:tcW w:w="0" w:type="auto"/>
            <w:vAlign w:val="center"/>
          </w:tcPr>
          <w:p w14:paraId="62FBE699">
            <w:pPr>
              <w:keepNext w:val="0"/>
              <w:keepLines w:val="0"/>
              <w:pageBreakBefore w:val="0"/>
              <w:widowControl/>
              <w:suppressLineNumbers w:val="0"/>
              <w:wordWrap/>
              <w:overflowPunct/>
              <w:topLinePunct w:val="0"/>
              <w:bidi w:val="0"/>
              <w:spacing w:line="360" w:lineRule="auto"/>
              <w:jc w:val="right"/>
              <w:textAlignment w:val="center"/>
              <w:rPr>
                <w:b w:val="0"/>
                <w:bCs w:val="0"/>
                <w:sz w:val="18"/>
                <w:szCs w:val="18"/>
                <w:highlight w:val="none"/>
              </w:rPr>
            </w:pPr>
          </w:p>
        </w:tc>
        <w:tc>
          <w:tcPr>
            <w:tcW w:w="0" w:type="auto"/>
          </w:tcPr>
          <w:p w14:paraId="5ECACC46">
            <w:pPr>
              <w:keepLines w:val="0"/>
              <w:pageBreakBefore w:val="0"/>
              <w:wordWrap/>
              <w:overflowPunct/>
              <w:topLinePunct w:val="0"/>
              <w:bidi w:val="0"/>
              <w:spacing w:line="360" w:lineRule="auto"/>
              <w:rPr>
                <w:b w:val="0"/>
                <w:bCs w:val="0"/>
                <w:sz w:val="18"/>
                <w:szCs w:val="18"/>
                <w:highlight w:val="none"/>
              </w:rPr>
            </w:pPr>
          </w:p>
        </w:tc>
        <w:tc>
          <w:tcPr>
            <w:tcW w:w="0" w:type="auto"/>
          </w:tcPr>
          <w:p w14:paraId="118BDCFA">
            <w:pPr>
              <w:keepLines w:val="0"/>
              <w:pageBreakBefore w:val="0"/>
              <w:wordWrap/>
              <w:overflowPunct/>
              <w:topLinePunct w:val="0"/>
              <w:bidi w:val="0"/>
              <w:spacing w:line="360" w:lineRule="auto"/>
              <w:rPr>
                <w:b w:val="0"/>
                <w:bCs w:val="0"/>
                <w:sz w:val="18"/>
                <w:szCs w:val="18"/>
                <w:highlight w:val="none"/>
              </w:rPr>
            </w:pPr>
          </w:p>
        </w:tc>
        <w:tc>
          <w:tcPr>
            <w:tcW w:w="0" w:type="auto"/>
          </w:tcPr>
          <w:p w14:paraId="02E8C4FC">
            <w:pPr>
              <w:keepLines w:val="0"/>
              <w:pageBreakBefore w:val="0"/>
              <w:wordWrap/>
              <w:overflowPunct/>
              <w:topLinePunct w:val="0"/>
              <w:bidi w:val="0"/>
              <w:spacing w:line="360" w:lineRule="auto"/>
              <w:rPr>
                <w:b w:val="0"/>
                <w:bCs w:val="0"/>
                <w:sz w:val="18"/>
                <w:szCs w:val="18"/>
                <w:highlight w:val="none"/>
              </w:rPr>
            </w:pPr>
          </w:p>
        </w:tc>
        <w:tc>
          <w:tcPr>
            <w:tcW w:w="0" w:type="auto"/>
          </w:tcPr>
          <w:p w14:paraId="0EBF040D">
            <w:pPr>
              <w:keepLines w:val="0"/>
              <w:pageBreakBefore w:val="0"/>
              <w:wordWrap/>
              <w:overflowPunct/>
              <w:topLinePunct w:val="0"/>
              <w:bidi w:val="0"/>
              <w:spacing w:line="360" w:lineRule="auto"/>
              <w:rPr>
                <w:b w:val="0"/>
                <w:bCs w:val="0"/>
                <w:sz w:val="18"/>
                <w:szCs w:val="18"/>
                <w:highlight w:val="none"/>
              </w:rPr>
            </w:pPr>
          </w:p>
        </w:tc>
        <w:tc>
          <w:tcPr>
            <w:tcW w:w="0" w:type="auto"/>
          </w:tcPr>
          <w:p w14:paraId="569CF589">
            <w:pPr>
              <w:keepLines w:val="0"/>
              <w:pageBreakBefore w:val="0"/>
              <w:wordWrap/>
              <w:overflowPunct/>
              <w:topLinePunct w:val="0"/>
              <w:bidi w:val="0"/>
              <w:spacing w:line="360" w:lineRule="auto"/>
              <w:rPr>
                <w:b w:val="0"/>
                <w:bCs w:val="0"/>
                <w:sz w:val="18"/>
                <w:szCs w:val="18"/>
                <w:highlight w:val="none"/>
              </w:rPr>
            </w:pPr>
          </w:p>
        </w:tc>
      </w:tr>
      <w:tr w14:paraId="5BAF6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7D95E102">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p>
        </w:tc>
        <w:tc>
          <w:tcPr>
            <w:tcW w:w="0" w:type="auto"/>
            <w:shd w:val="clear" w:color="auto" w:fill="auto"/>
            <w:vAlign w:val="top"/>
          </w:tcPr>
          <w:p w14:paraId="55359EC1">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r>
              <w:rPr>
                <w:rFonts w:hint="default" w:ascii="Times New Roman" w:hAnsi="Times New Roman" w:cs="Times New Roman"/>
                <w:b w:val="0"/>
                <w:bCs w:val="0"/>
                <w:sz w:val="18"/>
                <w:szCs w:val="18"/>
                <w:highlight w:val="none"/>
              </w:rPr>
              <w:t>尿素</w:t>
            </w:r>
            <w:r>
              <w:rPr>
                <w:rFonts w:hint="default" w:ascii="Times New Roman" w:hAnsi="Times New Roman" w:cs="Times New Roman"/>
                <w:b w:val="0"/>
                <w:bCs w:val="0"/>
                <w:sz w:val="18"/>
                <w:szCs w:val="18"/>
                <w:highlight w:val="none"/>
                <w:lang w:val="en-US" w:eastAsia="zh-CN"/>
              </w:rPr>
              <w:t>+</w:t>
            </w:r>
            <w:r>
              <w:rPr>
                <w:rFonts w:hint="eastAsia" w:ascii="Times New Roman" w:hAnsi="Times New Roman" w:cs="Times New Roman"/>
                <w:b w:val="0"/>
                <w:bCs w:val="0"/>
                <w:sz w:val="18"/>
                <w:szCs w:val="18"/>
                <w:highlight w:val="none"/>
                <w:lang w:val="en-US" w:eastAsia="zh-CN"/>
              </w:rPr>
              <w:t xml:space="preserve"> </w:t>
            </w:r>
            <w:r>
              <w:rPr>
                <w:rFonts w:hint="default" w:ascii="Times New Roman" w:hAnsi="Times New Roman" w:cs="Times New Roman"/>
                <w:b w:val="0"/>
                <w:bCs w:val="0"/>
                <w:sz w:val="18"/>
                <w:szCs w:val="18"/>
                <w:highlight w:val="none"/>
                <w:lang w:val="en-US" w:eastAsia="zh-CN"/>
              </w:rPr>
              <w:t>NAM</w:t>
            </w:r>
          </w:p>
        </w:tc>
        <w:tc>
          <w:tcPr>
            <w:tcW w:w="0" w:type="auto"/>
            <w:vAlign w:val="center"/>
          </w:tcPr>
          <w:p w14:paraId="24796F05">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r>
              <w:rPr>
                <w:rFonts w:hint="eastAsia" w:ascii="等线" w:hAnsi="等线" w:eastAsia="等线" w:cs="等线"/>
                <w:b w:val="0"/>
                <w:bCs w:val="0"/>
                <w:i w:val="0"/>
                <w:iCs w:val="0"/>
                <w:color w:val="000000"/>
                <w:kern w:val="0"/>
                <w:sz w:val="18"/>
                <w:szCs w:val="18"/>
                <w:highlight w:val="none"/>
                <w:u w:val="none"/>
                <w:lang w:val="en-US" w:eastAsia="zh-CN" w:bidi="ar"/>
              </w:rPr>
              <w:t xml:space="preserve">15.37 </w:t>
            </w:r>
          </w:p>
        </w:tc>
        <w:tc>
          <w:tcPr>
            <w:tcW w:w="0" w:type="auto"/>
            <w:shd w:val="clear" w:color="auto" w:fill="auto"/>
            <w:vAlign w:val="center"/>
          </w:tcPr>
          <w:p w14:paraId="6F72B189">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r>
              <w:rPr>
                <w:rFonts w:hint="eastAsia" w:ascii="等线" w:hAnsi="等线" w:eastAsia="等线" w:cs="等线"/>
                <w:b w:val="0"/>
                <w:bCs w:val="0"/>
                <w:i w:val="0"/>
                <w:iCs w:val="0"/>
                <w:color w:val="000000"/>
                <w:kern w:val="0"/>
                <w:sz w:val="18"/>
                <w:szCs w:val="18"/>
                <w:highlight w:val="none"/>
                <w:u w:val="none"/>
                <w:lang w:val="en-US" w:eastAsia="zh-CN" w:bidi="ar"/>
              </w:rPr>
              <w:t xml:space="preserve">-5.27 </w:t>
            </w:r>
          </w:p>
        </w:tc>
        <w:tc>
          <w:tcPr>
            <w:tcW w:w="0" w:type="auto"/>
            <w:shd w:val="clear" w:color="auto" w:fill="auto"/>
            <w:vAlign w:val="center"/>
          </w:tcPr>
          <w:p w14:paraId="23FC1315">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r>
              <w:rPr>
                <w:rFonts w:hint="eastAsia" w:ascii="等线" w:hAnsi="等线" w:eastAsia="等线" w:cs="等线"/>
                <w:b w:val="0"/>
                <w:bCs w:val="0"/>
                <w:i w:val="0"/>
                <w:iCs w:val="0"/>
                <w:color w:val="000000"/>
                <w:kern w:val="0"/>
                <w:sz w:val="18"/>
                <w:szCs w:val="18"/>
                <w:highlight w:val="none"/>
                <w:u w:val="none"/>
                <w:lang w:val="en-US" w:eastAsia="zh-CN" w:bidi="ar"/>
              </w:rPr>
              <w:t xml:space="preserve">-1.93 </w:t>
            </w:r>
          </w:p>
        </w:tc>
        <w:tc>
          <w:tcPr>
            <w:tcW w:w="0" w:type="auto"/>
            <w:vAlign w:val="center"/>
          </w:tcPr>
          <w:p w14:paraId="60BEC4A8">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r>
              <w:rPr>
                <w:rFonts w:hint="eastAsia" w:ascii="等线" w:hAnsi="等线" w:eastAsia="等线" w:cs="等线"/>
                <w:b w:val="0"/>
                <w:bCs w:val="0"/>
                <w:i w:val="0"/>
                <w:iCs w:val="0"/>
                <w:color w:val="000000"/>
                <w:kern w:val="0"/>
                <w:sz w:val="18"/>
                <w:szCs w:val="18"/>
                <w:highlight w:val="none"/>
                <w:u w:val="none"/>
                <w:lang w:val="en-US" w:eastAsia="zh-CN" w:bidi="ar"/>
              </w:rPr>
              <w:t xml:space="preserve">-0.22 </w:t>
            </w:r>
          </w:p>
        </w:tc>
        <w:tc>
          <w:tcPr>
            <w:tcW w:w="0" w:type="auto"/>
            <w:vAlign w:val="center"/>
          </w:tcPr>
          <w:p w14:paraId="00F0F73F">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r>
              <w:rPr>
                <w:rFonts w:hint="eastAsia" w:ascii="等线" w:hAnsi="等线" w:eastAsia="等线" w:cs="等线"/>
                <w:b/>
                <w:bCs/>
                <w:i w:val="0"/>
                <w:iCs w:val="0"/>
                <w:color w:val="000000"/>
                <w:kern w:val="0"/>
                <w:sz w:val="18"/>
                <w:szCs w:val="18"/>
                <w:highlight w:val="none"/>
                <w:u w:val="none"/>
                <w:lang w:val="en-US" w:eastAsia="zh-CN" w:bidi="ar"/>
              </w:rPr>
              <w:t>8.23</w:t>
            </w:r>
            <w:r>
              <w:rPr>
                <w:rFonts w:hint="eastAsia" w:ascii="等线" w:hAnsi="等线" w:eastAsia="等线" w:cs="等线"/>
                <w:b w:val="0"/>
                <w:bCs w:val="0"/>
                <w:i w:val="0"/>
                <w:iCs w:val="0"/>
                <w:color w:val="000000"/>
                <w:kern w:val="0"/>
                <w:sz w:val="18"/>
                <w:szCs w:val="18"/>
                <w:highlight w:val="none"/>
                <w:u w:val="none"/>
                <w:lang w:val="en-US" w:eastAsia="zh-CN" w:bidi="ar"/>
              </w:rPr>
              <w:t xml:space="preserve"> </w:t>
            </w:r>
          </w:p>
        </w:tc>
        <w:tc>
          <w:tcPr>
            <w:tcW w:w="0" w:type="auto"/>
            <w:vAlign w:val="center"/>
          </w:tcPr>
          <w:p w14:paraId="6DB740EB">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bCs/>
                <w:i w:val="0"/>
                <w:iCs w:val="0"/>
                <w:color w:val="000000"/>
                <w:kern w:val="0"/>
                <w:sz w:val="18"/>
                <w:szCs w:val="18"/>
                <w:highlight w:val="none"/>
                <w:u w:val="none"/>
                <w:lang w:val="en-US" w:eastAsia="zh-CN" w:bidi="ar"/>
              </w:rPr>
            </w:pPr>
            <w:r>
              <w:rPr>
                <w:rFonts w:hint="eastAsia" w:ascii="等线" w:hAnsi="等线" w:eastAsia="等线" w:cs="等线"/>
                <w:b/>
                <w:bCs/>
                <w:i w:val="0"/>
                <w:iCs w:val="0"/>
                <w:color w:val="000000"/>
                <w:kern w:val="0"/>
                <w:sz w:val="18"/>
                <w:szCs w:val="18"/>
                <w:highlight w:val="none"/>
                <w:u w:val="none"/>
                <w:lang w:val="en-US" w:eastAsia="zh-CN" w:bidi="ar"/>
              </w:rPr>
              <w:t xml:space="preserve">6.82 </w:t>
            </w:r>
          </w:p>
        </w:tc>
        <w:tc>
          <w:tcPr>
            <w:tcW w:w="0" w:type="auto"/>
            <w:vAlign w:val="center"/>
          </w:tcPr>
          <w:p w14:paraId="3242ACDF">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bCs/>
                <w:i w:val="0"/>
                <w:iCs w:val="0"/>
                <w:color w:val="000000"/>
                <w:kern w:val="0"/>
                <w:sz w:val="18"/>
                <w:szCs w:val="18"/>
                <w:highlight w:val="none"/>
                <w:u w:val="none"/>
                <w:lang w:val="en-US" w:eastAsia="zh-CN" w:bidi="ar"/>
              </w:rPr>
            </w:pPr>
            <w:r>
              <w:rPr>
                <w:rFonts w:hint="eastAsia" w:ascii="等线" w:hAnsi="等线" w:eastAsia="等线" w:cs="等线"/>
                <w:b/>
                <w:bCs/>
                <w:i w:val="0"/>
                <w:iCs w:val="0"/>
                <w:color w:val="000000"/>
                <w:kern w:val="0"/>
                <w:sz w:val="18"/>
                <w:szCs w:val="18"/>
                <w:highlight w:val="none"/>
                <w:u w:val="none"/>
                <w:lang w:val="en-US" w:eastAsia="zh-CN" w:bidi="ar"/>
              </w:rPr>
              <w:t xml:space="preserve">49.93 </w:t>
            </w:r>
          </w:p>
        </w:tc>
        <w:tc>
          <w:tcPr>
            <w:tcW w:w="0" w:type="auto"/>
            <w:vAlign w:val="center"/>
          </w:tcPr>
          <w:p w14:paraId="540CEF95">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r>
              <w:rPr>
                <w:rFonts w:hint="eastAsia" w:ascii="等线" w:hAnsi="等线" w:eastAsia="等线" w:cs="等线"/>
                <w:b w:val="0"/>
                <w:bCs w:val="0"/>
                <w:i w:val="0"/>
                <w:iCs w:val="0"/>
                <w:color w:val="000000"/>
                <w:kern w:val="0"/>
                <w:sz w:val="18"/>
                <w:szCs w:val="18"/>
                <w:highlight w:val="none"/>
                <w:u w:val="none"/>
                <w:lang w:val="en-US" w:eastAsia="zh-CN" w:bidi="ar"/>
              </w:rPr>
              <w:t xml:space="preserve">-11.80 </w:t>
            </w:r>
          </w:p>
        </w:tc>
      </w:tr>
      <w:tr w14:paraId="00336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730ECAAC">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r>
              <w:rPr>
                <w:rFonts w:hint="default" w:ascii="Times New Roman" w:hAnsi="Times New Roman" w:cs="Times New Roman"/>
                <w:b w:val="0"/>
                <w:bCs w:val="0"/>
                <w:sz w:val="18"/>
                <w:szCs w:val="18"/>
                <w:highlight w:val="none"/>
              </w:rPr>
              <w:t>（</w:t>
            </w:r>
            <w:r>
              <w:rPr>
                <w:rFonts w:hint="default" w:ascii="Times New Roman" w:hAnsi="Times New Roman" w:cs="Times New Roman"/>
                <w:b w:val="0"/>
                <w:bCs w:val="0"/>
                <w:sz w:val="18"/>
                <w:szCs w:val="18"/>
                <w:highlight w:val="none"/>
                <w:lang w:val="en-US" w:eastAsia="zh-CN"/>
              </w:rPr>
              <w:t>2</w:t>
            </w:r>
            <w:r>
              <w:rPr>
                <w:rFonts w:hint="default" w:ascii="Times New Roman" w:hAnsi="Times New Roman" w:cs="Times New Roman"/>
                <w:b w:val="0"/>
                <w:bCs w:val="0"/>
                <w:sz w:val="18"/>
                <w:szCs w:val="18"/>
                <w:highlight w:val="none"/>
              </w:rPr>
              <w:t>）</w:t>
            </w:r>
          </w:p>
        </w:tc>
        <w:tc>
          <w:tcPr>
            <w:tcW w:w="0" w:type="auto"/>
            <w:shd w:val="clear" w:color="auto" w:fill="auto"/>
            <w:vAlign w:val="top"/>
          </w:tcPr>
          <w:p w14:paraId="0AA56580">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r>
              <w:rPr>
                <w:rFonts w:hint="default" w:ascii="Times New Roman" w:hAnsi="Times New Roman" w:cs="Times New Roman"/>
                <w:b w:val="0"/>
                <w:bCs w:val="0"/>
                <w:sz w:val="18"/>
                <w:szCs w:val="18"/>
                <w:highlight w:val="none"/>
              </w:rPr>
              <w:t>26-10-12</w:t>
            </w:r>
          </w:p>
        </w:tc>
        <w:tc>
          <w:tcPr>
            <w:tcW w:w="0" w:type="auto"/>
            <w:vAlign w:val="center"/>
          </w:tcPr>
          <w:p w14:paraId="59F0A4B3">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shd w:val="clear" w:color="auto" w:fill="auto"/>
            <w:vAlign w:val="center"/>
          </w:tcPr>
          <w:p w14:paraId="14A4E697">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shd w:val="clear" w:color="auto" w:fill="auto"/>
            <w:vAlign w:val="center"/>
          </w:tcPr>
          <w:p w14:paraId="2BE71A5C">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vAlign w:val="center"/>
          </w:tcPr>
          <w:p w14:paraId="51BBF6EC">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vAlign w:val="center"/>
          </w:tcPr>
          <w:p w14:paraId="6FC07B1D">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vAlign w:val="center"/>
          </w:tcPr>
          <w:p w14:paraId="6CEE3977">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bCs/>
                <w:i w:val="0"/>
                <w:iCs w:val="0"/>
                <w:color w:val="000000"/>
                <w:kern w:val="0"/>
                <w:sz w:val="18"/>
                <w:szCs w:val="18"/>
                <w:highlight w:val="none"/>
                <w:u w:val="none"/>
                <w:lang w:val="en-US" w:eastAsia="zh-CN" w:bidi="ar"/>
              </w:rPr>
            </w:pPr>
          </w:p>
        </w:tc>
        <w:tc>
          <w:tcPr>
            <w:tcW w:w="0" w:type="auto"/>
            <w:vAlign w:val="center"/>
          </w:tcPr>
          <w:p w14:paraId="39F10A85">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bCs/>
                <w:i w:val="0"/>
                <w:iCs w:val="0"/>
                <w:color w:val="000000"/>
                <w:kern w:val="0"/>
                <w:sz w:val="18"/>
                <w:szCs w:val="18"/>
                <w:highlight w:val="none"/>
                <w:u w:val="none"/>
                <w:lang w:val="en-US" w:eastAsia="zh-CN" w:bidi="ar"/>
              </w:rPr>
            </w:pPr>
          </w:p>
        </w:tc>
        <w:tc>
          <w:tcPr>
            <w:tcW w:w="0" w:type="auto"/>
            <w:vAlign w:val="center"/>
          </w:tcPr>
          <w:p w14:paraId="6AA8955F">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r>
      <w:tr w14:paraId="62784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FFC9C9F">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p>
        </w:tc>
        <w:tc>
          <w:tcPr>
            <w:tcW w:w="0" w:type="auto"/>
            <w:shd w:val="clear" w:color="auto" w:fill="auto"/>
            <w:vAlign w:val="top"/>
          </w:tcPr>
          <w:p w14:paraId="79E77BF7">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r>
              <w:rPr>
                <w:rFonts w:hint="default" w:ascii="Times New Roman" w:hAnsi="Times New Roman" w:cs="Times New Roman"/>
                <w:b w:val="0"/>
                <w:bCs w:val="0"/>
                <w:sz w:val="18"/>
                <w:szCs w:val="18"/>
                <w:highlight w:val="none"/>
              </w:rPr>
              <w:t>26-10-12</w:t>
            </w:r>
            <w:r>
              <w:rPr>
                <w:rFonts w:hint="default" w:ascii="Times New Roman" w:hAnsi="Times New Roman" w:cs="Times New Roman"/>
                <w:b w:val="0"/>
                <w:bCs w:val="0"/>
                <w:sz w:val="18"/>
                <w:szCs w:val="18"/>
                <w:highlight w:val="none"/>
                <w:lang w:val="en-US" w:eastAsia="zh-CN"/>
              </w:rPr>
              <w:t>+NAM</w:t>
            </w:r>
          </w:p>
        </w:tc>
        <w:tc>
          <w:tcPr>
            <w:tcW w:w="0" w:type="auto"/>
            <w:vAlign w:val="center"/>
          </w:tcPr>
          <w:p w14:paraId="0C027569">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r>
              <w:rPr>
                <w:rFonts w:hint="eastAsia" w:ascii="等线" w:hAnsi="等线" w:eastAsia="等线" w:cs="等线"/>
                <w:b w:val="0"/>
                <w:bCs w:val="0"/>
                <w:i w:val="0"/>
                <w:iCs w:val="0"/>
                <w:color w:val="000000"/>
                <w:kern w:val="0"/>
                <w:sz w:val="18"/>
                <w:szCs w:val="18"/>
                <w:highlight w:val="none"/>
                <w:u w:val="none"/>
                <w:lang w:val="en-US" w:eastAsia="zh-CN" w:bidi="ar"/>
              </w:rPr>
              <w:t xml:space="preserve">-2.86 </w:t>
            </w:r>
          </w:p>
        </w:tc>
        <w:tc>
          <w:tcPr>
            <w:tcW w:w="0" w:type="auto"/>
            <w:shd w:val="clear" w:color="auto" w:fill="auto"/>
            <w:vAlign w:val="center"/>
          </w:tcPr>
          <w:p w14:paraId="26E76B92">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r>
              <w:rPr>
                <w:rFonts w:hint="eastAsia" w:ascii="等线" w:hAnsi="等线" w:eastAsia="等线" w:cs="等线"/>
                <w:b w:val="0"/>
                <w:bCs w:val="0"/>
                <w:i w:val="0"/>
                <w:iCs w:val="0"/>
                <w:color w:val="000000"/>
                <w:kern w:val="0"/>
                <w:sz w:val="18"/>
                <w:szCs w:val="18"/>
                <w:highlight w:val="none"/>
                <w:u w:val="none"/>
                <w:lang w:val="en-US" w:eastAsia="zh-CN" w:bidi="ar"/>
              </w:rPr>
              <w:t xml:space="preserve">0.00 </w:t>
            </w:r>
          </w:p>
        </w:tc>
        <w:tc>
          <w:tcPr>
            <w:tcW w:w="0" w:type="auto"/>
            <w:shd w:val="clear" w:color="auto" w:fill="auto"/>
            <w:vAlign w:val="center"/>
          </w:tcPr>
          <w:p w14:paraId="27381F6F">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r>
              <w:rPr>
                <w:rFonts w:hint="eastAsia" w:ascii="等线" w:hAnsi="等线" w:eastAsia="等线" w:cs="等线"/>
                <w:b w:val="0"/>
                <w:bCs w:val="0"/>
                <w:i w:val="0"/>
                <w:iCs w:val="0"/>
                <w:color w:val="000000"/>
                <w:kern w:val="0"/>
                <w:sz w:val="18"/>
                <w:szCs w:val="18"/>
                <w:highlight w:val="none"/>
                <w:u w:val="none"/>
                <w:lang w:val="en-US" w:eastAsia="zh-CN" w:bidi="ar"/>
              </w:rPr>
              <w:t xml:space="preserve">-0.13 </w:t>
            </w:r>
          </w:p>
        </w:tc>
        <w:tc>
          <w:tcPr>
            <w:tcW w:w="0" w:type="auto"/>
            <w:vAlign w:val="center"/>
          </w:tcPr>
          <w:p w14:paraId="3023C655">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r>
              <w:rPr>
                <w:rFonts w:hint="eastAsia" w:ascii="等线" w:hAnsi="等线" w:eastAsia="等线" w:cs="等线"/>
                <w:b w:val="0"/>
                <w:bCs w:val="0"/>
                <w:i w:val="0"/>
                <w:iCs w:val="0"/>
                <w:color w:val="000000"/>
                <w:kern w:val="0"/>
                <w:sz w:val="18"/>
                <w:szCs w:val="18"/>
                <w:highlight w:val="none"/>
                <w:u w:val="none"/>
                <w:lang w:val="en-US" w:eastAsia="zh-CN" w:bidi="ar"/>
              </w:rPr>
              <w:t xml:space="preserve">-10.55 </w:t>
            </w:r>
          </w:p>
        </w:tc>
        <w:tc>
          <w:tcPr>
            <w:tcW w:w="0" w:type="auto"/>
            <w:vAlign w:val="center"/>
          </w:tcPr>
          <w:p w14:paraId="133EB2F4">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r>
              <w:rPr>
                <w:rFonts w:hint="eastAsia" w:ascii="等线" w:hAnsi="等线" w:eastAsia="等线" w:cs="等线"/>
                <w:b w:val="0"/>
                <w:bCs w:val="0"/>
                <w:i w:val="0"/>
                <w:iCs w:val="0"/>
                <w:color w:val="000000"/>
                <w:kern w:val="0"/>
                <w:sz w:val="18"/>
                <w:szCs w:val="18"/>
                <w:highlight w:val="none"/>
                <w:u w:val="none"/>
                <w:lang w:val="en-US" w:eastAsia="zh-CN" w:bidi="ar"/>
              </w:rPr>
              <w:t xml:space="preserve">-1.35 </w:t>
            </w:r>
          </w:p>
        </w:tc>
        <w:tc>
          <w:tcPr>
            <w:tcW w:w="0" w:type="auto"/>
            <w:vAlign w:val="center"/>
          </w:tcPr>
          <w:p w14:paraId="68C180C1">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bCs/>
                <w:i w:val="0"/>
                <w:iCs w:val="0"/>
                <w:color w:val="000000"/>
                <w:kern w:val="0"/>
                <w:sz w:val="18"/>
                <w:szCs w:val="18"/>
                <w:highlight w:val="none"/>
                <w:u w:val="none"/>
                <w:lang w:val="en-US" w:eastAsia="zh-CN" w:bidi="ar"/>
              </w:rPr>
            </w:pPr>
            <w:r>
              <w:rPr>
                <w:rFonts w:hint="eastAsia" w:ascii="等线" w:hAnsi="等线" w:eastAsia="等线" w:cs="等线"/>
                <w:b/>
                <w:bCs/>
                <w:i w:val="0"/>
                <w:iCs w:val="0"/>
                <w:color w:val="000000"/>
                <w:kern w:val="0"/>
                <w:sz w:val="18"/>
                <w:szCs w:val="18"/>
                <w:highlight w:val="none"/>
                <w:u w:val="none"/>
                <w:lang w:val="en-US" w:eastAsia="zh-CN" w:bidi="ar"/>
              </w:rPr>
              <w:t xml:space="preserve">8.05 </w:t>
            </w:r>
          </w:p>
        </w:tc>
        <w:tc>
          <w:tcPr>
            <w:tcW w:w="0" w:type="auto"/>
            <w:vAlign w:val="center"/>
          </w:tcPr>
          <w:p w14:paraId="156ABF65">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bCs/>
                <w:i w:val="0"/>
                <w:iCs w:val="0"/>
                <w:color w:val="000000"/>
                <w:kern w:val="0"/>
                <w:sz w:val="18"/>
                <w:szCs w:val="18"/>
                <w:highlight w:val="none"/>
                <w:u w:val="none"/>
                <w:lang w:val="en-US" w:eastAsia="zh-CN" w:bidi="ar"/>
              </w:rPr>
            </w:pPr>
            <w:r>
              <w:rPr>
                <w:rFonts w:hint="eastAsia" w:ascii="等线" w:hAnsi="等线" w:eastAsia="等线" w:cs="等线"/>
                <w:b/>
                <w:bCs/>
                <w:i w:val="0"/>
                <w:iCs w:val="0"/>
                <w:color w:val="000000"/>
                <w:kern w:val="0"/>
                <w:sz w:val="18"/>
                <w:szCs w:val="18"/>
                <w:highlight w:val="none"/>
                <w:u w:val="none"/>
                <w:lang w:val="en-US" w:eastAsia="zh-CN" w:bidi="ar"/>
              </w:rPr>
              <w:t xml:space="preserve">13.50 </w:t>
            </w:r>
          </w:p>
        </w:tc>
        <w:tc>
          <w:tcPr>
            <w:tcW w:w="0" w:type="auto"/>
            <w:vAlign w:val="center"/>
          </w:tcPr>
          <w:p w14:paraId="543AF8C4">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r>
              <w:rPr>
                <w:rFonts w:hint="eastAsia" w:ascii="等线" w:hAnsi="等线" w:eastAsia="等线" w:cs="等线"/>
                <w:b w:val="0"/>
                <w:bCs w:val="0"/>
                <w:i w:val="0"/>
                <w:iCs w:val="0"/>
                <w:color w:val="000000"/>
                <w:kern w:val="0"/>
                <w:sz w:val="18"/>
                <w:szCs w:val="18"/>
                <w:highlight w:val="none"/>
                <w:u w:val="none"/>
                <w:lang w:val="en-US" w:eastAsia="zh-CN" w:bidi="ar"/>
              </w:rPr>
              <w:t xml:space="preserve">-4.54 </w:t>
            </w:r>
          </w:p>
        </w:tc>
      </w:tr>
      <w:tr w14:paraId="348D0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9EACB65">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r>
              <w:rPr>
                <w:rFonts w:hint="default" w:ascii="Times New Roman" w:hAnsi="Times New Roman" w:cs="Times New Roman"/>
                <w:b w:val="0"/>
                <w:bCs w:val="0"/>
                <w:sz w:val="18"/>
                <w:szCs w:val="18"/>
                <w:highlight w:val="none"/>
                <w:lang w:val="en-US" w:eastAsia="zh-CN"/>
              </w:rPr>
              <w:t>（5）</w:t>
            </w:r>
          </w:p>
        </w:tc>
        <w:tc>
          <w:tcPr>
            <w:tcW w:w="0" w:type="auto"/>
            <w:shd w:val="clear" w:color="auto" w:fill="auto"/>
            <w:vAlign w:val="top"/>
          </w:tcPr>
          <w:p w14:paraId="6F0F6F47">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r>
              <w:rPr>
                <w:rFonts w:hint="default" w:ascii="Times New Roman" w:hAnsi="Times New Roman" w:cs="Times New Roman"/>
                <w:b w:val="0"/>
                <w:bCs w:val="0"/>
                <w:sz w:val="18"/>
                <w:szCs w:val="18"/>
                <w:highlight w:val="none"/>
              </w:rPr>
              <w:t>硫铵</w:t>
            </w:r>
          </w:p>
        </w:tc>
        <w:tc>
          <w:tcPr>
            <w:tcW w:w="0" w:type="auto"/>
            <w:shd w:val="clear" w:color="auto" w:fill="auto"/>
            <w:vAlign w:val="center"/>
          </w:tcPr>
          <w:p w14:paraId="690DC803">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shd w:val="clear" w:color="auto" w:fill="auto"/>
            <w:vAlign w:val="center"/>
          </w:tcPr>
          <w:p w14:paraId="5664EBEA">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shd w:val="clear" w:color="auto" w:fill="auto"/>
            <w:vAlign w:val="center"/>
          </w:tcPr>
          <w:p w14:paraId="07833439">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shd w:val="clear" w:color="auto" w:fill="auto"/>
            <w:vAlign w:val="center"/>
          </w:tcPr>
          <w:p w14:paraId="7B50BC3E">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shd w:val="clear" w:color="auto" w:fill="auto"/>
            <w:vAlign w:val="top"/>
          </w:tcPr>
          <w:p w14:paraId="4A3B8DDE">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shd w:val="clear" w:color="auto" w:fill="auto"/>
            <w:vAlign w:val="center"/>
          </w:tcPr>
          <w:p w14:paraId="4D890238">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bCs/>
                <w:i w:val="0"/>
                <w:iCs w:val="0"/>
                <w:color w:val="000000"/>
                <w:kern w:val="0"/>
                <w:sz w:val="18"/>
                <w:szCs w:val="18"/>
                <w:highlight w:val="none"/>
                <w:u w:val="none"/>
                <w:lang w:val="en-US" w:eastAsia="zh-CN" w:bidi="ar"/>
              </w:rPr>
            </w:pPr>
          </w:p>
        </w:tc>
        <w:tc>
          <w:tcPr>
            <w:tcW w:w="0" w:type="auto"/>
            <w:vAlign w:val="center"/>
          </w:tcPr>
          <w:p w14:paraId="7566E41A">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bCs/>
                <w:i w:val="0"/>
                <w:iCs w:val="0"/>
                <w:color w:val="000000"/>
                <w:kern w:val="0"/>
                <w:sz w:val="18"/>
                <w:szCs w:val="18"/>
                <w:highlight w:val="none"/>
                <w:u w:val="none"/>
                <w:lang w:val="en-US" w:eastAsia="zh-CN" w:bidi="ar"/>
              </w:rPr>
            </w:pPr>
          </w:p>
        </w:tc>
        <w:tc>
          <w:tcPr>
            <w:tcW w:w="0" w:type="auto"/>
            <w:vAlign w:val="center"/>
          </w:tcPr>
          <w:p w14:paraId="224B690F">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r>
      <w:tr w14:paraId="77FCD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6B7B8ABE">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p>
        </w:tc>
        <w:tc>
          <w:tcPr>
            <w:tcW w:w="0" w:type="auto"/>
            <w:shd w:val="clear" w:color="auto" w:fill="auto"/>
            <w:vAlign w:val="top"/>
          </w:tcPr>
          <w:p w14:paraId="6DC283C9">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r>
              <w:rPr>
                <w:rFonts w:hint="default" w:ascii="Times New Roman" w:hAnsi="Times New Roman" w:cs="Times New Roman"/>
                <w:b w:val="0"/>
                <w:bCs w:val="0"/>
                <w:sz w:val="18"/>
                <w:szCs w:val="18"/>
                <w:highlight w:val="none"/>
              </w:rPr>
              <w:t>硫铵</w:t>
            </w:r>
            <w:r>
              <w:rPr>
                <w:rFonts w:hint="default" w:ascii="Times New Roman" w:hAnsi="Times New Roman" w:cs="Times New Roman"/>
                <w:b w:val="0"/>
                <w:bCs w:val="0"/>
                <w:sz w:val="18"/>
                <w:szCs w:val="18"/>
                <w:highlight w:val="none"/>
                <w:lang w:val="en-US" w:eastAsia="zh-CN"/>
              </w:rPr>
              <w:t>+NAM</w:t>
            </w:r>
          </w:p>
        </w:tc>
        <w:tc>
          <w:tcPr>
            <w:tcW w:w="0" w:type="auto"/>
            <w:shd w:val="clear" w:color="auto" w:fill="auto"/>
            <w:vAlign w:val="center"/>
          </w:tcPr>
          <w:p w14:paraId="3A31CE82">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shd w:val="clear" w:color="auto" w:fill="auto"/>
            <w:vAlign w:val="center"/>
          </w:tcPr>
          <w:p w14:paraId="29FAF0E9">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r>
              <w:rPr>
                <w:rFonts w:hint="eastAsia" w:ascii="等线" w:hAnsi="等线" w:eastAsia="等线" w:cs="等线"/>
                <w:b w:val="0"/>
                <w:bCs w:val="0"/>
                <w:i w:val="0"/>
                <w:iCs w:val="0"/>
                <w:color w:val="000000"/>
                <w:kern w:val="0"/>
                <w:sz w:val="18"/>
                <w:szCs w:val="18"/>
                <w:highlight w:val="none"/>
                <w:u w:val="none"/>
                <w:lang w:val="en-US" w:eastAsia="zh-CN" w:bidi="ar"/>
              </w:rPr>
              <w:t xml:space="preserve">1.00 </w:t>
            </w:r>
          </w:p>
        </w:tc>
        <w:tc>
          <w:tcPr>
            <w:tcW w:w="0" w:type="auto"/>
            <w:shd w:val="clear" w:color="auto" w:fill="auto"/>
            <w:vAlign w:val="center"/>
          </w:tcPr>
          <w:p w14:paraId="06934821">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r>
              <w:rPr>
                <w:rFonts w:hint="eastAsia" w:ascii="等线" w:hAnsi="等线" w:eastAsia="等线" w:cs="等线"/>
                <w:b w:val="0"/>
                <w:bCs w:val="0"/>
                <w:i w:val="0"/>
                <w:iCs w:val="0"/>
                <w:color w:val="000000"/>
                <w:kern w:val="0"/>
                <w:sz w:val="18"/>
                <w:szCs w:val="18"/>
                <w:highlight w:val="none"/>
                <w:u w:val="none"/>
                <w:lang w:val="en-US" w:eastAsia="zh-CN" w:bidi="ar"/>
              </w:rPr>
              <w:t xml:space="preserve">-4.54 </w:t>
            </w:r>
          </w:p>
        </w:tc>
        <w:tc>
          <w:tcPr>
            <w:tcW w:w="0" w:type="auto"/>
            <w:shd w:val="clear" w:color="auto" w:fill="auto"/>
            <w:vAlign w:val="center"/>
          </w:tcPr>
          <w:p w14:paraId="521C310D">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r>
              <w:rPr>
                <w:rFonts w:hint="eastAsia" w:ascii="等线" w:hAnsi="等线" w:eastAsia="等线" w:cs="等线"/>
                <w:b w:val="0"/>
                <w:bCs w:val="0"/>
                <w:i w:val="0"/>
                <w:iCs w:val="0"/>
                <w:color w:val="000000"/>
                <w:kern w:val="0"/>
                <w:sz w:val="18"/>
                <w:szCs w:val="18"/>
                <w:highlight w:val="none"/>
                <w:u w:val="none"/>
                <w:lang w:val="en-US" w:eastAsia="zh-CN" w:bidi="ar"/>
              </w:rPr>
              <w:t xml:space="preserve">3.13 </w:t>
            </w:r>
          </w:p>
        </w:tc>
        <w:tc>
          <w:tcPr>
            <w:tcW w:w="0" w:type="auto"/>
            <w:shd w:val="clear" w:color="auto" w:fill="auto"/>
            <w:vAlign w:val="top"/>
          </w:tcPr>
          <w:p w14:paraId="1D842E90">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r>
              <w:rPr>
                <w:rFonts w:hint="eastAsia" w:ascii="等线" w:hAnsi="等线" w:eastAsia="等线" w:cs="等线"/>
                <w:b w:val="0"/>
                <w:bCs w:val="0"/>
                <w:i w:val="0"/>
                <w:iCs w:val="0"/>
                <w:color w:val="000000"/>
                <w:kern w:val="0"/>
                <w:sz w:val="18"/>
                <w:szCs w:val="18"/>
                <w:highlight w:val="none"/>
                <w:u w:val="none"/>
                <w:lang w:val="en-US" w:eastAsia="zh-CN" w:bidi="ar"/>
              </w:rPr>
              <w:t>1.91</w:t>
            </w:r>
          </w:p>
        </w:tc>
        <w:tc>
          <w:tcPr>
            <w:tcW w:w="0" w:type="auto"/>
            <w:shd w:val="clear" w:color="auto" w:fill="auto"/>
            <w:vAlign w:val="center"/>
          </w:tcPr>
          <w:p w14:paraId="3826906A">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bCs/>
                <w:i w:val="0"/>
                <w:iCs w:val="0"/>
                <w:color w:val="000000"/>
                <w:kern w:val="0"/>
                <w:sz w:val="18"/>
                <w:szCs w:val="18"/>
                <w:highlight w:val="none"/>
                <w:u w:val="none"/>
                <w:lang w:val="en-US" w:eastAsia="zh-CN" w:bidi="ar"/>
              </w:rPr>
            </w:pPr>
            <w:r>
              <w:rPr>
                <w:rFonts w:hint="eastAsia" w:ascii="等线" w:hAnsi="等线" w:eastAsia="等线" w:cs="等线"/>
                <w:b/>
                <w:bCs/>
                <w:i w:val="0"/>
                <w:iCs w:val="0"/>
                <w:color w:val="000000"/>
                <w:kern w:val="0"/>
                <w:sz w:val="18"/>
                <w:szCs w:val="18"/>
                <w:highlight w:val="none"/>
                <w:u w:val="none"/>
                <w:lang w:val="en-US" w:eastAsia="zh-CN" w:bidi="ar"/>
              </w:rPr>
              <w:t xml:space="preserve">22.05 </w:t>
            </w:r>
          </w:p>
        </w:tc>
        <w:tc>
          <w:tcPr>
            <w:tcW w:w="0" w:type="auto"/>
            <w:vAlign w:val="center"/>
          </w:tcPr>
          <w:p w14:paraId="041842D6">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bCs/>
                <w:i w:val="0"/>
                <w:iCs w:val="0"/>
                <w:color w:val="000000"/>
                <w:kern w:val="0"/>
                <w:sz w:val="18"/>
                <w:szCs w:val="18"/>
                <w:highlight w:val="none"/>
                <w:u w:val="none"/>
                <w:lang w:val="en-US" w:eastAsia="zh-CN" w:bidi="ar"/>
              </w:rPr>
            </w:pPr>
            <w:r>
              <w:rPr>
                <w:rFonts w:hint="eastAsia" w:ascii="等线" w:hAnsi="等线" w:eastAsia="等线" w:cs="等线"/>
                <w:b/>
                <w:bCs/>
                <w:i w:val="0"/>
                <w:iCs w:val="0"/>
                <w:color w:val="000000"/>
                <w:kern w:val="0"/>
                <w:sz w:val="18"/>
                <w:szCs w:val="18"/>
                <w:highlight w:val="none"/>
                <w:u w:val="none"/>
                <w:lang w:val="en-US" w:eastAsia="zh-CN" w:bidi="ar"/>
              </w:rPr>
              <w:t xml:space="preserve">7.26 </w:t>
            </w:r>
          </w:p>
        </w:tc>
        <w:tc>
          <w:tcPr>
            <w:tcW w:w="0" w:type="auto"/>
            <w:vAlign w:val="center"/>
          </w:tcPr>
          <w:p w14:paraId="2FEA9C8C">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r>
              <w:rPr>
                <w:rFonts w:hint="eastAsia" w:ascii="等线" w:hAnsi="等线" w:eastAsia="等线" w:cs="等线"/>
                <w:b w:val="0"/>
                <w:bCs w:val="0"/>
                <w:i w:val="0"/>
                <w:iCs w:val="0"/>
                <w:color w:val="000000"/>
                <w:kern w:val="0"/>
                <w:sz w:val="18"/>
                <w:szCs w:val="18"/>
                <w:highlight w:val="none"/>
                <w:u w:val="none"/>
                <w:lang w:val="en-US" w:eastAsia="zh-CN" w:bidi="ar"/>
              </w:rPr>
              <w:t xml:space="preserve">22.85 </w:t>
            </w:r>
          </w:p>
        </w:tc>
      </w:tr>
      <w:tr w14:paraId="75970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0" w:type="auto"/>
            <w:shd w:val="clear" w:color="auto" w:fill="auto"/>
            <w:vAlign w:val="top"/>
          </w:tcPr>
          <w:p w14:paraId="0103CCEE">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r>
              <w:rPr>
                <w:rFonts w:hint="default" w:ascii="Times New Roman" w:hAnsi="Times New Roman" w:cs="Times New Roman"/>
                <w:b w:val="0"/>
                <w:bCs w:val="0"/>
                <w:sz w:val="18"/>
                <w:szCs w:val="18"/>
                <w:highlight w:val="none"/>
              </w:rPr>
              <w:t>（3）</w:t>
            </w:r>
          </w:p>
        </w:tc>
        <w:tc>
          <w:tcPr>
            <w:tcW w:w="0" w:type="auto"/>
            <w:shd w:val="clear" w:color="auto" w:fill="auto"/>
            <w:vAlign w:val="top"/>
          </w:tcPr>
          <w:p w14:paraId="2737BA9A">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r>
              <w:rPr>
                <w:rFonts w:hint="default" w:ascii="Times New Roman" w:hAnsi="Times New Roman" w:cs="Times New Roman"/>
                <w:b w:val="0"/>
                <w:bCs w:val="0"/>
                <w:sz w:val="18"/>
                <w:szCs w:val="18"/>
                <w:highlight w:val="none"/>
              </w:rPr>
              <w:t>28-10-10</w:t>
            </w:r>
          </w:p>
        </w:tc>
        <w:tc>
          <w:tcPr>
            <w:tcW w:w="0" w:type="auto"/>
            <w:vAlign w:val="center"/>
          </w:tcPr>
          <w:p w14:paraId="252C2673">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vAlign w:val="center"/>
          </w:tcPr>
          <w:p w14:paraId="22F0003F">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vAlign w:val="center"/>
          </w:tcPr>
          <w:p w14:paraId="09EFFF21">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vAlign w:val="center"/>
          </w:tcPr>
          <w:p w14:paraId="67A3EB92">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vAlign w:val="center"/>
          </w:tcPr>
          <w:p w14:paraId="4D376609">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vAlign w:val="center"/>
          </w:tcPr>
          <w:p w14:paraId="1E95CC36">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tcPr>
          <w:p w14:paraId="7966DDCA">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tcPr>
          <w:p w14:paraId="3DEF1BC7">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r>
      <w:tr w14:paraId="17829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0" w:type="auto"/>
            <w:shd w:val="clear" w:color="auto" w:fill="auto"/>
            <w:vAlign w:val="top"/>
          </w:tcPr>
          <w:p w14:paraId="4B4A9F5C">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p>
        </w:tc>
        <w:tc>
          <w:tcPr>
            <w:tcW w:w="0" w:type="auto"/>
            <w:shd w:val="clear" w:color="auto" w:fill="auto"/>
            <w:vAlign w:val="top"/>
          </w:tcPr>
          <w:p w14:paraId="5C36BF2D">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r>
              <w:rPr>
                <w:rFonts w:hint="default" w:ascii="Times New Roman" w:hAnsi="Times New Roman" w:cs="Times New Roman"/>
                <w:b w:val="0"/>
                <w:bCs w:val="0"/>
                <w:sz w:val="18"/>
                <w:szCs w:val="18"/>
                <w:highlight w:val="none"/>
              </w:rPr>
              <w:t>28-10-10</w:t>
            </w:r>
            <w:r>
              <w:rPr>
                <w:rFonts w:hint="default" w:ascii="Times New Roman" w:hAnsi="Times New Roman" w:cs="Times New Roman"/>
                <w:b w:val="0"/>
                <w:bCs w:val="0"/>
                <w:sz w:val="18"/>
                <w:szCs w:val="18"/>
                <w:highlight w:val="none"/>
                <w:lang w:val="en-US" w:eastAsia="zh-CN"/>
              </w:rPr>
              <w:t>+NAM</w:t>
            </w:r>
          </w:p>
        </w:tc>
        <w:tc>
          <w:tcPr>
            <w:tcW w:w="0" w:type="auto"/>
            <w:vAlign w:val="center"/>
          </w:tcPr>
          <w:p w14:paraId="77DB2435">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r>
              <w:rPr>
                <w:rFonts w:hint="eastAsia" w:ascii="等线" w:hAnsi="等线" w:eastAsia="等线" w:cs="等线"/>
                <w:b w:val="0"/>
                <w:bCs w:val="0"/>
                <w:i w:val="0"/>
                <w:iCs w:val="0"/>
                <w:color w:val="000000"/>
                <w:kern w:val="0"/>
                <w:sz w:val="18"/>
                <w:szCs w:val="18"/>
                <w:highlight w:val="none"/>
                <w:u w:val="none"/>
                <w:lang w:val="en-US" w:eastAsia="zh-CN" w:bidi="ar"/>
              </w:rPr>
              <w:t xml:space="preserve">-3.50 </w:t>
            </w:r>
          </w:p>
        </w:tc>
        <w:tc>
          <w:tcPr>
            <w:tcW w:w="0" w:type="auto"/>
            <w:vAlign w:val="center"/>
          </w:tcPr>
          <w:p w14:paraId="0EDAAD15">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r>
              <w:rPr>
                <w:rFonts w:hint="eastAsia" w:ascii="等线" w:hAnsi="等线" w:eastAsia="等线" w:cs="等线"/>
                <w:b w:val="0"/>
                <w:bCs w:val="0"/>
                <w:i w:val="0"/>
                <w:iCs w:val="0"/>
                <w:color w:val="000000"/>
                <w:kern w:val="0"/>
                <w:sz w:val="18"/>
                <w:szCs w:val="18"/>
                <w:highlight w:val="none"/>
                <w:u w:val="none"/>
                <w:lang w:val="en-US" w:eastAsia="zh-CN" w:bidi="ar"/>
              </w:rPr>
              <w:t xml:space="preserve"> </w:t>
            </w:r>
          </w:p>
        </w:tc>
        <w:tc>
          <w:tcPr>
            <w:tcW w:w="0" w:type="auto"/>
            <w:vAlign w:val="center"/>
          </w:tcPr>
          <w:p w14:paraId="237EF12D">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vAlign w:val="center"/>
          </w:tcPr>
          <w:p w14:paraId="6138C6E6">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vAlign w:val="center"/>
          </w:tcPr>
          <w:p w14:paraId="6BB9A447">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r>
              <w:rPr>
                <w:rFonts w:hint="eastAsia" w:ascii="等线" w:hAnsi="等线" w:eastAsia="等线" w:cs="等线"/>
                <w:b w:val="0"/>
                <w:bCs w:val="0"/>
                <w:i w:val="0"/>
                <w:iCs w:val="0"/>
                <w:color w:val="000000"/>
                <w:kern w:val="0"/>
                <w:sz w:val="18"/>
                <w:szCs w:val="18"/>
                <w:highlight w:val="none"/>
                <w:u w:val="none"/>
                <w:lang w:val="en-US" w:eastAsia="zh-CN" w:bidi="ar"/>
              </w:rPr>
              <w:t xml:space="preserve"> </w:t>
            </w:r>
          </w:p>
        </w:tc>
        <w:tc>
          <w:tcPr>
            <w:tcW w:w="0" w:type="auto"/>
          </w:tcPr>
          <w:p w14:paraId="3BBE61DE">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tcPr>
          <w:p w14:paraId="08E47126">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tcPr>
          <w:p w14:paraId="63C380B3">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r>
      <w:tr w14:paraId="29494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2FE77EE0">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r>
              <w:rPr>
                <w:rFonts w:hint="default" w:ascii="Times New Roman" w:hAnsi="Times New Roman" w:cs="Times New Roman"/>
                <w:b w:val="0"/>
                <w:bCs w:val="0"/>
                <w:sz w:val="18"/>
                <w:szCs w:val="18"/>
                <w:highlight w:val="none"/>
              </w:rPr>
              <w:t>（4）</w:t>
            </w:r>
          </w:p>
        </w:tc>
        <w:tc>
          <w:tcPr>
            <w:tcW w:w="0" w:type="auto"/>
            <w:shd w:val="clear" w:color="auto" w:fill="auto"/>
            <w:vAlign w:val="top"/>
          </w:tcPr>
          <w:p w14:paraId="2CAFFD2E">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r>
              <w:rPr>
                <w:rFonts w:hint="default" w:ascii="Times New Roman" w:hAnsi="Times New Roman" w:cs="Times New Roman"/>
                <w:b w:val="0"/>
                <w:bCs w:val="0"/>
                <w:sz w:val="18"/>
                <w:szCs w:val="18"/>
                <w:highlight w:val="none"/>
              </w:rPr>
              <w:t>22-10-10</w:t>
            </w:r>
            <w:r>
              <w:rPr>
                <w:rFonts w:hint="default" w:ascii="Times New Roman" w:hAnsi="Times New Roman" w:cs="Times New Roman"/>
                <w:b w:val="0"/>
                <w:bCs w:val="0"/>
                <w:sz w:val="18"/>
                <w:szCs w:val="18"/>
                <w:highlight w:val="none"/>
                <w:lang w:val="en-US" w:eastAsia="zh-CN"/>
              </w:rPr>
              <w:t>+NAM</w:t>
            </w:r>
          </w:p>
        </w:tc>
        <w:tc>
          <w:tcPr>
            <w:tcW w:w="0" w:type="auto"/>
            <w:vAlign w:val="center"/>
          </w:tcPr>
          <w:p w14:paraId="09EE91EC">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tcPr>
          <w:p w14:paraId="79AF6ACE">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vAlign w:val="center"/>
          </w:tcPr>
          <w:p w14:paraId="7BE2C559">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vAlign w:val="center"/>
          </w:tcPr>
          <w:p w14:paraId="5DE38C30">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vAlign w:val="center"/>
          </w:tcPr>
          <w:p w14:paraId="63E6874D">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tcPr>
          <w:p w14:paraId="0C82D102">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tcPr>
          <w:p w14:paraId="3805F91A">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tcPr>
          <w:p w14:paraId="4F695ACB">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r>
      <w:tr w14:paraId="42FEB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36003FDF">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p>
        </w:tc>
        <w:tc>
          <w:tcPr>
            <w:tcW w:w="0" w:type="auto"/>
            <w:shd w:val="clear" w:color="auto" w:fill="auto"/>
            <w:vAlign w:val="top"/>
          </w:tcPr>
          <w:p w14:paraId="7B472C16">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r>
              <w:rPr>
                <w:rFonts w:hint="default" w:ascii="Times New Roman" w:hAnsi="Times New Roman" w:cs="Times New Roman"/>
                <w:b w:val="0"/>
                <w:bCs w:val="0"/>
                <w:sz w:val="18"/>
                <w:szCs w:val="18"/>
                <w:highlight w:val="none"/>
              </w:rPr>
              <w:t>22-10-10</w:t>
            </w:r>
          </w:p>
        </w:tc>
        <w:tc>
          <w:tcPr>
            <w:tcW w:w="0" w:type="auto"/>
            <w:vAlign w:val="center"/>
          </w:tcPr>
          <w:p w14:paraId="482D860C">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r>
              <w:rPr>
                <w:rFonts w:hint="eastAsia" w:ascii="等线" w:hAnsi="等线" w:eastAsia="等线" w:cs="等线"/>
                <w:b w:val="0"/>
                <w:bCs w:val="0"/>
                <w:i w:val="0"/>
                <w:iCs w:val="0"/>
                <w:color w:val="000000"/>
                <w:kern w:val="0"/>
                <w:sz w:val="18"/>
                <w:szCs w:val="18"/>
                <w:highlight w:val="none"/>
                <w:u w:val="none"/>
                <w:lang w:val="en-US" w:eastAsia="zh-CN" w:bidi="ar"/>
              </w:rPr>
              <w:t xml:space="preserve">6.11 </w:t>
            </w:r>
          </w:p>
        </w:tc>
        <w:tc>
          <w:tcPr>
            <w:tcW w:w="0" w:type="auto"/>
            <w:shd w:val="clear" w:color="auto" w:fill="auto"/>
            <w:vAlign w:val="center"/>
          </w:tcPr>
          <w:p w14:paraId="36450D6E">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r>
              <w:rPr>
                <w:rFonts w:hint="eastAsia" w:ascii="等线" w:hAnsi="等线" w:eastAsia="等线" w:cs="等线"/>
                <w:b w:val="0"/>
                <w:bCs w:val="0"/>
                <w:i w:val="0"/>
                <w:iCs w:val="0"/>
                <w:color w:val="000000"/>
                <w:kern w:val="0"/>
                <w:sz w:val="18"/>
                <w:szCs w:val="18"/>
                <w:highlight w:val="none"/>
                <w:u w:val="none"/>
                <w:lang w:val="en-US" w:eastAsia="zh-CN" w:bidi="ar"/>
              </w:rPr>
              <w:t xml:space="preserve">-11.59 </w:t>
            </w:r>
          </w:p>
        </w:tc>
        <w:tc>
          <w:tcPr>
            <w:tcW w:w="0" w:type="auto"/>
          </w:tcPr>
          <w:p w14:paraId="120C179A">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tcPr>
          <w:p w14:paraId="26E3D520">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tcPr>
          <w:p w14:paraId="261DA7C3">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tcPr>
          <w:p w14:paraId="7AB693BA">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tcPr>
          <w:p w14:paraId="75CF0138">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c>
          <w:tcPr>
            <w:tcW w:w="0" w:type="auto"/>
          </w:tcPr>
          <w:p w14:paraId="5B5A441B">
            <w:pPr>
              <w:keepNext w:val="0"/>
              <w:keepLines w:val="0"/>
              <w:pageBreakBefore w:val="0"/>
              <w:widowControl/>
              <w:suppressLineNumbers w:val="0"/>
              <w:wordWrap/>
              <w:overflowPunct/>
              <w:topLinePunct w:val="0"/>
              <w:bidi w:val="0"/>
              <w:spacing w:line="360" w:lineRule="auto"/>
              <w:jc w:val="right"/>
              <w:textAlignment w:val="center"/>
              <w:rPr>
                <w:rFonts w:hint="eastAsia" w:ascii="等线" w:hAnsi="等线" w:eastAsia="等线" w:cs="等线"/>
                <w:b w:val="0"/>
                <w:bCs w:val="0"/>
                <w:i w:val="0"/>
                <w:iCs w:val="0"/>
                <w:color w:val="000000"/>
                <w:kern w:val="0"/>
                <w:sz w:val="18"/>
                <w:szCs w:val="18"/>
                <w:highlight w:val="none"/>
                <w:u w:val="none"/>
                <w:lang w:val="en-US" w:eastAsia="zh-CN" w:bidi="ar"/>
              </w:rPr>
            </w:pPr>
          </w:p>
        </w:tc>
      </w:tr>
      <w:tr w14:paraId="03B72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C6318D2">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r>
              <w:rPr>
                <w:rFonts w:hint="default" w:ascii="Times New Roman" w:hAnsi="Times New Roman" w:cs="Times New Roman"/>
                <w:b w:val="0"/>
                <w:bCs w:val="0"/>
                <w:sz w:val="18"/>
                <w:szCs w:val="18"/>
                <w:highlight w:val="none"/>
              </w:rPr>
              <w:t>7</w:t>
            </w:r>
          </w:p>
        </w:tc>
        <w:tc>
          <w:tcPr>
            <w:tcW w:w="0" w:type="auto"/>
            <w:shd w:val="clear" w:color="auto" w:fill="auto"/>
            <w:vAlign w:val="top"/>
          </w:tcPr>
          <w:p w14:paraId="3B5CECCD">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r>
              <w:rPr>
                <w:rFonts w:hint="default" w:ascii="Times New Roman" w:hAnsi="Times New Roman" w:cs="Times New Roman"/>
                <w:b w:val="0"/>
                <w:bCs w:val="0"/>
                <w:sz w:val="18"/>
                <w:szCs w:val="18"/>
                <w:highlight w:val="none"/>
              </w:rPr>
              <w:t>24-10-12</w:t>
            </w:r>
          </w:p>
        </w:tc>
        <w:tc>
          <w:tcPr>
            <w:tcW w:w="0" w:type="auto"/>
            <w:vAlign w:val="center"/>
          </w:tcPr>
          <w:p w14:paraId="5C58A08B">
            <w:pPr>
              <w:keepLines w:val="0"/>
              <w:pageBreakBefore w:val="0"/>
              <w:wordWrap/>
              <w:overflowPunct/>
              <w:topLinePunct w:val="0"/>
              <w:bidi w:val="0"/>
              <w:spacing w:line="360" w:lineRule="auto"/>
              <w:rPr>
                <w:b w:val="0"/>
                <w:bCs w:val="0"/>
                <w:sz w:val="18"/>
                <w:szCs w:val="18"/>
                <w:highlight w:val="none"/>
              </w:rPr>
            </w:pPr>
          </w:p>
        </w:tc>
        <w:tc>
          <w:tcPr>
            <w:tcW w:w="0" w:type="auto"/>
          </w:tcPr>
          <w:p w14:paraId="04039296">
            <w:pPr>
              <w:keepLines w:val="0"/>
              <w:pageBreakBefore w:val="0"/>
              <w:wordWrap/>
              <w:overflowPunct/>
              <w:topLinePunct w:val="0"/>
              <w:bidi w:val="0"/>
              <w:spacing w:line="360" w:lineRule="auto"/>
              <w:rPr>
                <w:b w:val="0"/>
                <w:bCs w:val="0"/>
                <w:sz w:val="18"/>
                <w:szCs w:val="18"/>
                <w:highlight w:val="none"/>
              </w:rPr>
            </w:pPr>
          </w:p>
        </w:tc>
        <w:tc>
          <w:tcPr>
            <w:tcW w:w="0" w:type="auto"/>
          </w:tcPr>
          <w:p w14:paraId="4B7991AC">
            <w:pPr>
              <w:keepLines w:val="0"/>
              <w:pageBreakBefore w:val="0"/>
              <w:wordWrap/>
              <w:overflowPunct/>
              <w:topLinePunct w:val="0"/>
              <w:bidi w:val="0"/>
              <w:spacing w:line="360" w:lineRule="auto"/>
              <w:rPr>
                <w:b w:val="0"/>
                <w:bCs w:val="0"/>
                <w:sz w:val="18"/>
                <w:szCs w:val="18"/>
                <w:highlight w:val="none"/>
              </w:rPr>
            </w:pPr>
          </w:p>
        </w:tc>
        <w:tc>
          <w:tcPr>
            <w:tcW w:w="0" w:type="auto"/>
          </w:tcPr>
          <w:p w14:paraId="6C1E97DE">
            <w:pPr>
              <w:keepLines w:val="0"/>
              <w:pageBreakBefore w:val="0"/>
              <w:wordWrap/>
              <w:overflowPunct/>
              <w:topLinePunct w:val="0"/>
              <w:bidi w:val="0"/>
              <w:spacing w:line="360" w:lineRule="auto"/>
              <w:rPr>
                <w:b w:val="0"/>
                <w:bCs w:val="0"/>
                <w:sz w:val="18"/>
                <w:szCs w:val="18"/>
                <w:highlight w:val="none"/>
              </w:rPr>
            </w:pPr>
          </w:p>
        </w:tc>
        <w:tc>
          <w:tcPr>
            <w:tcW w:w="0" w:type="auto"/>
          </w:tcPr>
          <w:p w14:paraId="2B0346EF">
            <w:pPr>
              <w:keepLines w:val="0"/>
              <w:pageBreakBefore w:val="0"/>
              <w:wordWrap/>
              <w:overflowPunct/>
              <w:topLinePunct w:val="0"/>
              <w:bidi w:val="0"/>
              <w:spacing w:line="360" w:lineRule="auto"/>
              <w:rPr>
                <w:b w:val="0"/>
                <w:bCs w:val="0"/>
                <w:sz w:val="18"/>
                <w:szCs w:val="18"/>
                <w:highlight w:val="none"/>
              </w:rPr>
            </w:pPr>
          </w:p>
        </w:tc>
        <w:tc>
          <w:tcPr>
            <w:tcW w:w="0" w:type="auto"/>
          </w:tcPr>
          <w:p w14:paraId="23142CD2">
            <w:pPr>
              <w:keepLines w:val="0"/>
              <w:pageBreakBefore w:val="0"/>
              <w:wordWrap/>
              <w:overflowPunct/>
              <w:topLinePunct w:val="0"/>
              <w:bidi w:val="0"/>
              <w:spacing w:line="360" w:lineRule="auto"/>
              <w:rPr>
                <w:b w:val="0"/>
                <w:bCs w:val="0"/>
                <w:sz w:val="18"/>
                <w:szCs w:val="18"/>
                <w:highlight w:val="none"/>
              </w:rPr>
            </w:pPr>
          </w:p>
        </w:tc>
        <w:tc>
          <w:tcPr>
            <w:tcW w:w="0" w:type="auto"/>
            <w:shd w:val="clear" w:color="auto" w:fill="auto"/>
            <w:vAlign w:val="center"/>
          </w:tcPr>
          <w:p w14:paraId="622C6DF9">
            <w:pPr>
              <w:keepLines w:val="0"/>
              <w:pageBreakBefore w:val="0"/>
              <w:wordWrap/>
              <w:overflowPunct/>
              <w:topLinePunct w:val="0"/>
              <w:bidi w:val="0"/>
              <w:spacing w:line="360" w:lineRule="auto"/>
              <w:rPr>
                <w:rFonts w:hint="default"/>
                <w:b w:val="0"/>
                <w:bCs w:val="0"/>
                <w:sz w:val="18"/>
                <w:szCs w:val="18"/>
                <w:highlight w:val="none"/>
                <w:lang w:val="en-US" w:eastAsia="zh-CN"/>
              </w:rPr>
            </w:pPr>
          </w:p>
        </w:tc>
        <w:tc>
          <w:tcPr>
            <w:tcW w:w="0" w:type="auto"/>
          </w:tcPr>
          <w:p w14:paraId="2CBEB405">
            <w:pPr>
              <w:keepLines w:val="0"/>
              <w:pageBreakBefore w:val="0"/>
              <w:wordWrap/>
              <w:overflowPunct/>
              <w:topLinePunct w:val="0"/>
              <w:bidi w:val="0"/>
              <w:spacing w:line="360" w:lineRule="auto"/>
              <w:rPr>
                <w:b w:val="0"/>
                <w:bCs w:val="0"/>
                <w:sz w:val="18"/>
                <w:szCs w:val="18"/>
                <w:highlight w:val="none"/>
              </w:rPr>
            </w:pPr>
          </w:p>
        </w:tc>
      </w:tr>
      <w:tr w14:paraId="6C320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1FBF7CC3">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p>
        </w:tc>
        <w:tc>
          <w:tcPr>
            <w:tcW w:w="0" w:type="auto"/>
            <w:shd w:val="clear" w:color="auto" w:fill="auto"/>
            <w:vAlign w:val="top"/>
          </w:tcPr>
          <w:p w14:paraId="4410040A">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r>
              <w:rPr>
                <w:rFonts w:hint="default" w:ascii="Times New Roman" w:hAnsi="Times New Roman" w:cs="Times New Roman"/>
                <w:b w:val="0"/>
                <w:bCs w:val="0"/>
                <w:sz w:val="18"/>
                <w:szCs w:val="18"/>
                <w:highlight w:val="none"/>
              </w:rPr>
              <w:t>24-10-12</w:t>
            </w:r>
            <w:r>
              <w:rPr>
                <w:rFonts w:hint="default" w:ascii="Times New Roman" w:hAnsi="Times New Roman" w:cs="Times New Roman"/>
                <w:b w:val="0"/>
                <w:bCs w:val="0"/>
                <w:sz w:val="18"/>
                <w:szCs w:val="18"/>
                <w:highlight w:val="none"/>
                <w:lang w:val="en-US" w:eastAsia="zh-CN"/>
              </w:rPr>
              <w:t>+NAM</w:t>
            </w:r>
          </w:p>
        </w:tc>
        <w:tc>
          <w:tcPr>
            <w:tcW w:w="0" w:type="auto"/>
            <w:shd w:val="clear" w:color="auto" w:fill="auto"/>
            <w:vAlign w:val="center"/>
          </w:tcPr>
          <w:p w14:paraId="28109C02">
            <w:pPr>
              <w:keepNext w:val="0"/>
              <w:keepLines w:val="0"/>
              <w:pageBreakBefore w:val="0"/>
              <w:widowControl/>
              <w:suppressLineNumbers w:val="0"/>
              <w:wordWrap/>
              <w:overflowPunct/>
              <w:topLinePunct w:val="0"/>
              <w:bidi w:val="0"/>
              <w:spacing w:line="360" w:lineRule="auto"/>
              <w:jc w:val="right"/>
              <w:textAlignment w:val="center"/>
              <w:rPr>
                <w:rFonts w:hint="eastAsia" w:asciiTheme="minorHAnsi" w:hAnsiTheme="minorHAnsi" w:eastAsiaTheme="minorEastAsia" w:cstheme="minorBidi"/>
                <w:b w:val="0"/>
                <w:bCs w:val="0"/>
                <w:kern w:val="2"/>
                <w:sz w:val="18"/>
                <w:szCs w:val="18"/>
                <w:highlight w:val="none"/>
                <w:lang w:val="en-US" w:eastAsia="zh-CN" w:bidi="ar-SA"/>
              </w:rPr>
            </w:pPr>
            <w:r>
              <w:rPr>
                <w:rFonts w:hint="eastAsia" w:ascii="等线" w:hAnsi="等线" w:eastAsia="等线" w:cs="等线"/>
                <w:b w:val="0"/>
                <w:bCs w:val="0"/>
                <w:i w:val="0"/>
                <w:iCs w:val="0"/>
                <w:color w:val="FF0000"/>
                <w:kern w:val="0"/>
                <w:sz w:val="18"/>
                <w:szCs w:val="18"/>
                <w:highlight w:val="none"/>
                <w:u w:val="none"/>
                <w:lang w:val="en-US" w:eastAsia="zh-CN" w:bidi="ar"/>
              </w:rPr>
              <w:t xml:space="preserve">-6.94 </w:t>
            </w:r>
          </w:p>
        </w:tc>
        <w:tc>
          <w:tcPr>
            <w:tcW w:w="0" w:type="auto"/>
          </w:tcPr>
          <w:p w14:paraId="587F9E01">
            <w:pPr>
              <w:keepLines w:val="0"/>
              <w:pageBreakBefore w:val="0"/>
              <w:wordWrap/>
              <w:overflowPunct/>
              <w:topLinePunct w:val="0"/>
              <w:bidi w:val="0"/>
              <w:spacing w:line="360" w:lineRule="auto"/>
              <w:rPr>
                <w:b w:val="0"/>
                <w:bCs w:val="0"/>
                <w:sz w:val="18"/>
                <w:szCs w:val="18"/>
                <w:highlight w:val="none"/>
              </w:rPr>
            </w:pPr>
          </w:p>
        </w:tc>
        <w:tc>
          <w:tcPr>
            <w:tcW w:w="0" w:type="auto"/>
          </w:tcPr>
          <w:p w14:paraId="122A35FD">
            <w:pPr>
              <w:keepLines w:val="0"/>
              <w:pageBreakBefore w:val="0"/>
              <w:wordWrap/>
              <w:overflowPunct/>
              <w:topLinePunct w:val="0"/>
              <w:bidi w:val="0"/>
              <w:spacing w:line="360" w:lineRule="auto"/>
              <w:rPr>
                <w:b w:val="0"/>
                <w:bCs w:val="0"/>
                <w:sz w:val="18"/>
                <w:szCs w:val="18"/>
                <w:highlight w:val="none"/>
              </w:rPr>
            </w:pPr>
          </w:p>
        </w:tc>
        <w:tc>
          <w:tcPr>
            <w:tcW w:w="0" w:type="auto"/>
          </w:tcPr>
          <w:p w14:paraId="5A5AEC29">
            <w:pPr>
              <w:keepLines w:val="0"/>
              <w:pageBreakBefore w:val="0"/>
              <w:wordWrap/>
              <w:overflowPunct/>
              <w:topLinePunct w:val="0"/>
              <w:bidi w:val="0"/>
              <w:spacing w:line="360" w:lineRule="auto"/>
              <w:rPr>
                <w:b w:val="0"/>
                <w:bCs w:val="0"/>
                <w:sz w:val="18"/>
                <w:szCs w:val="18"/>
                <w:highlight w:val="none"/>
              </w:rPr>
            </w:pPr>
          </w:p>
        </w:tc>
        <w:tc>
          <w:tcPr>
            <w:tcW w:w="0" w:type="auto"/>
          </w:tcPr>
          <w:p w14:paraId="4A24B797">
            <w:pPr>
              <w:keepLines w:val="0"/>
              <w:pageBreakBefore w:val="0"/>
              <w:wordWrap/>
              <w:overflowPunct/>
              <w:topLinePunct w:val="0"/>
              <w:bidi w:val="0"/>
              <w:spacing w:line="360" w:lineRule="auto"/>
              <w:rPr>
                <w:b w:val="0"/>
                <w:bCs w:val="0"/>
                <w:sz w:val="18"/>
                <w:szCs w:val="18"/>
                <w:highlight w:val="none"/>
              </w:rPr>
            </w:pPr>
          </w:p>
        </w:tc>
        <w:tc>
          <w:tcPr>
            <w:tcW w:w="0" w:type="auto"/>
          </w:tcPr>
          <w:p w14:paraId="3E15D0C9">
            <w:pPr>
              <w:keepLines w:val="0"/>
              <w:pageBreakBefore w:val="0"/>
              <w:wordWrap/>
              <w:overflowPunct/>
              <w:topLinePunct w:val="0"/>
              <w:bidi w:val="0"/>
              <w:spacing w:line="360" w:lineRule="auto"/>
              <w:rPr>
                <w:b w:val="0"/>
                <w:bCs w:val="0"/>
                <w:sz w:val="18"/>
                <w:szCs w:val="18"/>
                <w:highlight w:val="none"/>
              </w:rPr>
            </w:pPr>
          </w:p>
        </w:tc>
        <w:tc>
          <w:tcPr>
            <w:tcW w:w="0" w:type="auto"/>
            <w:shd w:val="clear" w:color="auto" w:fill="auto"/>
            <w:vAlign w:val="center"/>
          </w:tcPr>
          <w:p w14:paraId="0C704371">
            <w:pPr>
              <w:keepLines w:val="0"/>
              <w:pageBreakBefore w:val="0"/>
              <w:wordWrap/>
              <w:overflowPunct/>
              <w:topLinePunct w:val="0"/>
              <w:bidi w:val="0"/>
              <w:spacing w:line="360" w:lineRule="auto"/>
              <w:rPr>
                <w:rFonts w:hint="default"/>
                <w:b w:val="0"/>
                <w:bCs w:val="0"/>
                <w:sz w:val="18"/>
                <w:szCs w:val="18"/>
                <w:highlight w:val="none"/>
                <w:lang w:val="en-US" w:eastAsia="zh-CN"/>
              </w:rPr>
            </w:pPr>
          </w:p>
        </w:tc>
        <w:tc>
          <w:tcPr>
            <w:tcW w:w="0" w:type="auto"/>
          </w:tcPr>
          <w:p w14:paraId="27B1C7A2">
            <w:pPr>
              <w:keepLines w:val="0"/>
              <w:pageBreakBefore w:val="0"/>
              <w:wordWrap/>
              <w:overflowPunct/>
              <w:topLinePunct w:val="0"/>
              <w:bidi w:val="0"/>
              <w:spacing w:line="360" w:lineRule="auto"/>
              <w:rPr>
                <w:b w:val="0"/>
                <w:bCs w:val="0"/>
                <w:sz w:val="18"/>
                <w:szCs w:val="18"/>
                <w:highlight w:val="none"/>
              </w:rPr>
            </w:pPr>
          </w:p>
        </w:tc>
      </w:tr>
      <w:tr w14:paraId="38D9A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172A8FD8">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r>
              <w:rPr>
                <w:rFonts w:hint="default" w:ascii="Times New Roman" w:hAnsi="Times New Roman" w:cs="Times New Roman"/>
                <w:b w:val="0"/>
                <w:bCs w:val="0"/>
                <w:sz w:val="18"/>
                <w:szCs w:val="18"/>
                <w:highlight w:val="none"/>
              </w:rPr>
              <w:t>8</w:t>
            </w:r>
          </w:p>
        </w:tc>
        <w:tc>
          <w:tcPr>
            <w:tcW w:w="0" w:type="auto"/>
            <w:shd w:val="clear" w:color="auto" w:fill="auto"/>
            <w:vAlign w:val="top"/>
          </w:tcPr>
          <w:p w14:paraId="5414D8EE">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r>
              <w:rPr>
                <w:rFonts w:hint="default" w:ascii="Times New Roman" w:hAnsi="Times New Roman" w:cs="Times New Roman"/>
                <w:b w:val="0"/>
                <w:bCs w:val="0"/>
                <w:sz w:val="18"/>
                <w:szCs w:val="18"/>
                <w:highlight w:val="none"/>
              </w:rPr>
              <w:t>26-10-12</w:t>
            </w:r>
          </w:p>
        </w:tc>
        <w:tc>
          <w:tcPr>
            <w:tcW w:w="0" w:type="auto"/>
            <w:shd w:val="clear" w:color="auto" w:fill="auto"/>
            <w:vAlign w:val="center"/>
          </w:tcPr>
          <w:p w14:paraId="550F2FC6">
            <w:pPr>
              <w:keepLines w:val="0"/>
              <w:pageBreakBefore w:val="0"/>
              <w:wordWrap/>
              <w:overflowPunct/>
              <w:topLinePunct w:val="0"/>
              <w:bidi w:val="0"/>
              <w:spacing w:line="360" w:lineRule="auto"/>
              <w:rPr>
                <w:rFonts w:asciiTheme="minorHAnsi" w:hAnsiTheme="minorHAnsi" w:eastAsiaTheme="minorEastAsia" w:cstheme="minorBidi"/>
                <w:b w:val="0"/>
                <w:bCs w:val="0"/>
                <w:kern w:val="2"/>
                <w:sz w:val="18"/>
                <w:szCs w:val="18"/>
                <w:highlight w:val="none"/>
                <w:lang w:val="en-US" w:eastAsia="zh-CN" w:bidi="ar-SA"/>
              </w:rPr>
            </w:pPr>
          </w:p>
        </w:tc>
        <w:tc>
          <w:tcPr>
            <w:tcW w:w="0" w:type="auto"/>
          </w:tcPr>
          <w:p w14:paraId="1836EBEC">
            <w:pPr>
              <w:keepLines w:val="0"/>
              <w:pageBreakBefore w:val="0"/>
              <w:wordWrap/>
              <w:overflowPunct/>
              <w:topLinePunct w:val="0"/>
              <w:bidi w:val="0"/>
              <w:spacing w:line="360" w:lineRule="auto"/>
              <w:rPr>
                <w:b w:val="0"/>
                <w:bCs w:val="0"/>
                <w:sz w:val="18"/>
                <w:szCs w:val="18"/>
                <w:highlight w:val="none"/>
              </w:rPr>
            </w:pPr>
          </w:p>
        </w:tc>
        <w:tc>
          <w:tcPr>
            <w:tcW w:w="0" w:type="auto"/>
          </w:tcPr>
          <w:p w14:paraId="32234B5D">
            <w:pPr>
              <w:keepLines w:val="0"/>
              <w:pageBreakBefore w:val="0"/>
              <w:wordWrap/>
              <w:overflowPunct/>
              <w:topLinePunct w:val="0"/>
              <w:bidi w:val="0"/>
              <w:spacing w:line="360" w:lineRule="auto"/>
              <w:rPr>
                <w:b w:val="0"/>
                <w:bCs w:val="0"/>
                <w:sz w:val="18"/>
                <w:szCs w:val="18"/>
                <w:highlight w:val="none"/>
              </w:rPr>
            </w:pPr>
          </w:p>
        </w:tc>
        <w:tc>
          <w:tcPr>
            <w:tcW w:w="0" w:type="auto"/>
          </w:tcPr>
          <w:p w14:paraId="4F9D995F">
            <w:pPr>
              <w:keepLines w:val="0"/>
              <w:pageBreakBefore w:val="0"/>
              <w:wordWrap/>
              <w:overflowPunct/>
              <w:topLinePunct w:val="0"/>
              <w:bidi w:val="0"/>
              <w:spacing w:line="360" w:lineRule="auto"/>
              <w:rPr>
                <w:b w:val="0"/>
                <w:bCs w:val="0"/>
                <w:sz w:val="18"/>
                <w:szCs w:val="18"/>
                <w:highlight w:val="none"/>
              </w:rPr>
            </w:pPr>
          </w:p>
        </w:tc>
        <w:tc>
          <w:tcPr>
            <w:tcW w:w="0" w:type="auto"/>
          </w:tcPr>
          <w:p w14:paraId="0DF3C19B">
            <w:pPr>
              <w:keepLines w:val="0"/>
              <w:pageBreakBefore w:val="0"/>
              <w:wordWrap/>
              <w:overflowPunct/>
              <w:topLinePunct w:val="0"/>
              <w:bidi w:val="0"/>
              <w:spacing w:line="360" w:lineRule="auto"/>
              <w:rPr>
                <w:b w:val="0"/>
                <w:bCs w:val="0"/>
                <w:sz w:val="18"/>
                <w:szCs w:val="18"/>
                <w:highlight w:val="none"/>
              </w:rPr>
            </w:pPr>
          </w:p>
        </w:tc>
        <w:tc>
          <w:tcPr>
            <w:tcW w:w="0" w:type="auto"/>
          </w:tcPr>
          <w:p w14:paraId="68685146">
            <w:pPr>
              <w:keepLines w:val="0"/>
              <w:pageBreakBefore w:val="0"/>
              <w:wordWrap/>
              <w:overflowPunct/>
              <w:topLinePunct w:val="0"/>
              <w:bidi w:val="0"/>
              <w:spacing w:line="360" w:lineRule="auto"/>
              <w:rPr>
                <w:b w:val="0"/>
                <w:bCs w:val="0"/>
                <w:sz w:val="18"/>
                <w:szCs w:val="18"/>
                <w:highlight w:val="none"/>
              </w:rPr>
            </w:pPr>
          </w:p>
        </w:tc>
        <w:tc>
          <w:tcPr>
            <w:tcW w:w="0" w:type="auto"/>
            <w:shd w:val="clear" w:color="auto" w:fill="auto"/>
            <w:vAlign w:val="center"/>
          </w:tcPr>
          <w:p w14:paraId="663E3647">
            <w:pPr>
              <w:keepLines w:val="0"/>
              <w:pageBreakBefore w:val="0"/>
              <w:wordWrap/>
              <w:overflowPunct/>
              <w:topLinePunct w:val="0"/>
              <w:bidi w:val="0"/>
              <w:spacing w:line="360" w:lineRule="auto"/>
              <w:rPr>
                <w:rFonts w:hint="default"/>
                <w:b w:val="0"/>
                <w:bCs w:val="0"/>
                <w:sz w:val="18"/>
                <w:szCs w:val="18"/>
                <w:highlight w:val="none"/>
                <w:lang w:val="en-US" w:eastAsia="zh-CN"/>
              </w:rPr>
            </w:pPr>
          </w:p>
        </w:tc>
        <w:tc>
          <w:tcPr>
            <w:tcW w:w="0" w:type="auto"/>
          </w:tcPr>
          <w:p w14:paraId="356DF15F">
            <w:pPr>
              <w:keepLines w:val="0"/>
              <w:pageBreakBefore w:val="0"/>
              <w:wordWrap/>
              <w:overflowPunct/>
              <w:topLinePunct w:val="0"/>
              <w:bidi w:val="0"/>
              <w:spacing w:line="360" w:lineRule="auto"/>
              <w:rPr>
                <w:b w:val="0"/>
                <w:bCs w:val="0"/>
                <w:sz w:val="18"/>
                <w:szCs w:val="18"/>
                <w:highlight w:val="none"/>
              </w:rPr>
            </w:pPr>
          </w:p>
        </w:tc>
      </w:tr>
      <w:tr w14:paraId="60C35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5520EE0A">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p>
        </w:tc>
        <w:tc>
          <w:tcPr>
            <w:tcW w:w="0" w:type="auto"/>
            <w:shd w:val="clear" w:color="auto" w:fill="auto"/>
            <w:vAlign w:val="top"/>
          </w:tcPr>
          <w:p w14:paraId="5BFF6229">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r>
              <w:rPr>
                <w:rFonts w:hint="default" w:ascii="Times New Roman" w:hAnsi="Times New Roman" w:cs="Times New Roman"/>
                <w:b w:val="0"/>
                <w:bCs w:val="0"/>
                <w:sz w:val="18"/>
                <w:szCs w:val="18"/>
                <w:highlight w:val="none"/>
              </w:rPr>
              <w:t>26-10-12</w:t>
            </w:r>
            <w:r>
              <w:rPr>
                <w:rFonts w:hint="default" w:ascii="Times New Roman" w:hAnsi="Times New Roman" w:cs="Times New Roman"/>
                <w:b w:val="0"/>
                <w:bCs w:val="0"/>
                <w:sz w:val="18"/>
                <w:szCs w:val="18"/>
                <w:highlight w:val="none"/>
                <w:lang w:val="en-US" w:eastAsia="zh-CN"/>
              </w:rPr>
              <w:t>+NAM</w:t>
            </w:r>
          </w:p>
        </w:tc>
        <w:tc>
          <w:tcPr>
            <w:tcW w:w="0" w:type="auto"/>
            <w:shd w:val="clear" w:color="auto" w:fill="auto"/>
            <w:vAlign w:val="center"/>
          </w:tcPr>
          <w:p w14:paraId="19D86C1D">
            <w:pPr>
              <w:keepNext w:val="0"/>
              <w:keepLines w:val="0"/>
              <w:pageBreakBefore w:val="0"/>
              <w:widowControl/>
              <w:suppressLineNumbers w:val="0"/>
              <w:wordWrap/>
              <w:overflowPunct/>
              <w:topLinePunct w:val="0"/>
              <w:bidi w:val="0"/>
              <w:spacing w:line="360" w:lineRule="auto"/>
              <w:jc w:val="right"/>
              <w:textAlignment w:val="center"/>
              <w:rPr>
                <w:rFonts w:asciiTheme="minorHAnsi" w:hAnsiTheme="minorHAnsi" w:eastAsiaTheme="minorEastAsia" w:cstheme="minorBidi"/>
                <w:b w:val="0"/>
                <w:bCs w:val="0"/>
                <w:kern w:val="2"/>
                <w:sz w:val="18"/>
                <w:szCs w:val="18"/>
                <w:highlight w:val="none"/>
                <w:lang w:val="en-US" w:eastAsia="zh-CN" w:bidi="ar-SA"/>
              </w:rPr>
            </w:pPr>
            <w:r>
              <w:rPr>
                <w:rFonts w:hint="eastAsia" w:ascii="等线" w:hAnsi="等线" w:eastAsia="等线" w:cs="等线"/>
                <w:b w:val="0"/>
                <w:bCs w:val="0"/>
                <w:i w:val="0"/>
                <w:iCs w:val="0"/>
                <w:color w:val="000000"/>
                <w:kern w:val="0"/>
                <w:sz w:val="18"/>
                <w:szCs w:val="18"/>
                <w:highlight w:val="none"/>
                <w:u w:val="none"/>
                <w:lang w:val="en-US" w:eastAsia="zh-CN" w:bidi="ar"/>
              </w:rPr>
              <w:t xml:space="preserve">4.34 </w:t>
            </w:r>
          </w:p>
        </w:tc>
        <w:tc>
          <w:tcPr>
            <w:tcW w:w="0" w:type="auto"/>
          </w:tcPr>
          <w:p w14:paraId="5D8D3E02">
            <w:pPr>
              <w:keepLines w:val="0"/>
              <w:pageBreakBefore w:val="0"/>
              <w:wordWrap/>
              <w:overflowPunct/>
              <w:topLinePunct w:val="0"/>
              <w:bidi w:val="0"/>
              <w:spacing w:line="360" w:lineRule="auto"/>
              <w:rPr>
                <w:b w:val="0"/>
                <w:bCs w:val="0"/>
                <w:sz w:val="18"/>
                <w:szCs w:val="18"/>
                <w:highlight w:val="none"/>
              </w:rPr>
            </w:pPr>
          </w:p>
        </w:tc>
        <w:tc>
          <w:tcPr>
            <w:tcW w:w="0" w:type="auto"/>
          </w:tcPr>
          <w:p w14:paraId="77C9FD58">
            <w:pPr>
              <w:keepLines w:val="0"/>
              <w:pageBreakBefore w:val="0"/>
              <w:wordWrap/>
              <w:overflowPunct/>
              <w:topLinePunct w:val="0"/>
              <w:bidi w:val="0"/>
              <w:spacing w:line="360" w:lineRule="auto"/>
              <w:rPr>
                <w:b w:val="0"/>
                <w:bCs w:val="0"/>
                <w:sz w:val="18"/>
                <w:szCs w:val="18"/>
                <w:highlight w:val="none"/>
              </w:rPr>
            </w:pPr>
          </w:p>
        </w:tc>
        <w:tc>
          <w:tcPr>
            <w:tcW w:w="0" w:type="auto"/>
          </w:tcPr>
          <w:p w14:paraId="08427D77">
            <w:pPr>
              <w:keepLines w:val="0"/>
              <w:pageBreakBefore w:val="0"/>
              <w:wordWrap/>
              <w:overflowPunct/>
              <w:topLinePunct w:val="0"/>
              <w:bidi w:val="0"/>
              <w:spacing w:line="360" w:lineRule="auto"/>
              <w:rPr>
                <w:b w:val="0"/>
                <w:bCs w:val="0"/>
                <w:sz w:val="18"/>
                <w:szCs w:val="18"/>
                <w:highlight w:val="none"/>
              </w:rPr>
            </w:pPr>
          </w:p>
        </w:tc>
        <w:tc>
          <w:tcPr>
            <w:tcW w:w="0" w:type="auto"/>
          </w:tcPr>
          <w:p w14:paraId="4049BF3F">
            <w:pPr>
              <w:keepLines w:val="0"/>
              <w:pageBreakBefore w:val="0"/>
              <w:wordWrap/>
              <w:overflowPunct/>
              <w:topLinePunct w:val="0"/>
              <w:bidi w:val="0"/>
              <w:spacing w:line="360" w:lineRule="auto"/>
              <w:rPr>
                <w:b w:val="0"/>
                <w:bCs w:val="0"/>
                <w:sz w:val="18"/>
                <w:szCs w:val="18"/>
                <w:highlight w:val="none"/>
              </w:rPr>
            </w:pPr>
          </w:p>
        </w:tc>
        <w:tc>
          <w:tcPr>
            <w:tcW w:w="0" w:type="auto"/>
          </w:tcPr>
          <w:p w14:paraId="7387879F">
            <w:pPr>
              <w:keepLines w:val="0"/>
              <w:pageBreakBefore w:val="0"/>
              <w:wordWrap/>
              <w:overflowPunct/>
              <w:topLinePunct w:val="0"/>
              <w:bidi w:val="0"/>
              <w:spacing w:line="360" w:lineRule="auto"/>
              <w:rPr>
                <w:b w:val="0"/>
                <w:bCs w:val="0"/>
                <w:sz w:val="18"/>
                <w:szCs w:val="18"/>
                <w:highlight w:val="none"/>
              </w:rPr>
            </w:pPr>
          </w:p>
        </w:tc>
        <w:tc>
          <w:tcPr>
            <w:tcW w:w="0" w:type="auto"/>
            <w:shd w:val="clear" w:color="auto" w:fill="auto"/>
            <w:vAlign w:val="center"/>
          </w:tcPr>
          <w:p w14:paraId="1B4C8806">
            <w:pPr>
              <w:keepLines w:val="0"/>
              <w:pageBreakBefore w:val="0"/>
              <w:wordWrap/>
              <w:overflowPunct/>
              <w:topLinePunct w:val="0"/>
              <w:bidi w:val="0"/>
              <w:spacing w:line="360" w:lineRule="auto"/>
              <w:rPr>
                <w:rFonts w:hint="default"/>
                <w:b w:val="0"/>
                <w:bCs w:val="0"/>
                <w:sz w:val="18"/>
                <w:szCs w:val="18"/>
                <w:highlight w:val="none"/>
                <w:lang w:val="en-US" w:eastAsia="zh-CN"/>
              </w:rPr>
            </w:pPr>
          </w:p>
        </w:tc>
        <w:tc>
          <w:tcPr>
            <w:tcW w:w="0" w:type="auto"/>
          </w:tcPr>
          <w:p w14:paraId="15829CD7">
            <w:pPr>
              <w:keepLines w:val="0"/>
              <w:pageBreakBefore w:val="0"/>
              <w:wordWrap/>
              <w:overflowPunct/>
              <w:topLinePunct w:val="0"/>
              <w:bidi w:val="0"/>
              <w:spacing w:line="360" w:lineRule="auto"/>
              <w:rPr>
                <w:b w:val="0"/>
                <w:bCs w:val="0"/>
                <w:sz w:val="18"/>
                <w:szCs w:val="18"/>
                <w:highlight w:val="none"/>
              </w:rPr>
            </w:pPr>
          </w:p>
        </w:tc>
      </w:tr>
      <w:tr w14:paraId="32A61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vAlign w:val="top"/>
          </w:tcPr>
          <w:p w14:paraId="32E19BC2">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r>
              <w:rPr>
                <w:rFonts w:hint="default" w:ascii="Times New Roman" w:hAnsi="Times New Roman" w:cs="Times New Roman"/>
                <w:b w:val="0"/>
                <w:bCs w:val="0"/>
                <w:sz w:val="18"/>
                <w:szCs w:val="18"/>
                <w:highlight w:val="none"/>
              </w:rPr>
              <w:t>9</w:t>
            </w:r>
          </w:p>
        </w:tc>
        <w:tc>
          <w:tcPr>
            <w:tcW w:w="0" w:type="auto"/>
            <w:shd w:val="clear" w:color="auto" w:fill="auto"/>
            <w:vAlign w:val="top"/>
          </w:tcPr>
          <w:p w14:paraId="70B208B5">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r>
              <w:rPr>
                <w:rFonts w:hint="default" w:ascii="Times New Roman" w:hAnsi="Times New Roman" w:cs="Times New Roman"/>
                <w:b w:val="0"/>
                <w:bCs w:val="0"/>
                <w:sz w:val="18"/>
                <w:szCs w:val="18"/>
                <w:highlight w:val="none"/>
              </w:rPr>
              <w:t>22-19-16</w:t>
            </w:r>
          </w:p>
        </w:tc>
        <w:tc>
          <w:tcPr>
            <w:tcW w:w="0" w:type="auto"/>
            <w:shd w:val="clear" w:color="auto" w:fill="auto"/>
            <w:vAlign w:val="center"/>
          </w:tcPr>
          <w:p w14:paraId="6588EA95">
            <w:pPr>
              <w:keepLines w:val="0"/>
              <w:pageBreakBefore w:val="0"/>
              <w:wordWrap/>
              <w:overflowPunct/>
              <w:topLinePunct w:val="0"/>
              <w:bidi w:val="0"/>
              <w:spacing w:line="360" w:lineRule="auto"/>
              <w:rPr>
                <w:rFonts w:asciiTheme="minorHAnsi" w:hAnsiTheme="minorHAnsi" w:eastAsiaTheme="minorEastAsia" w:cstheme="minorBidi"/>
                <w:b w:val="0"/>
                <w:bCs w:val="0"/>
                <w:kern w:val="2"/>
                <w:sz w:val="18"/>
                <w:szCs w:val="18"/>
                <w:highlight w:val="none"/>
                <w:lang w:val="en-US" w:eastAsia="zh-CN" w:bidi="ar-SA"/>
              </w:rPr>
            </w:pPr>
          </w:p>
        </w:tc>
        <w:tc>
          <w:tcPr>
            <w:tcW w:w="0" w:type="auto"/>
          </w:tcPr>
          <w:p w14:paraId="0C707480">
            <w:pPr>
              <w:keepLines w:val="0"/>
              <w:pageBreakBefore w:val="0"/>
              <w:wordWrap/>
              <w:overflowPunct/>
              <w:topLinePunct w:val="0"/>
              <w:bidi w:val="0"/>
              <w:spacing w:line="360" w:lineRule="auto"/>
              <w:rPr>
                <w:b w:val="0"/>
                <w:bCs w:val="0"/>
                <w:sz w:val="18"/>
                <w:szCs w:val="18"/>
                <w:highlight w:val="none"/>
              </w:rPr>
            </w:pPr>
          </w:p>
        </w:tc>
        <w:tc>
          <w:tcPr>
            <w:tcW w:w="0" w:type="auto"/>
          </w:tcPr>
          <w:p w14:paraId="74C8BB5A">
            <w:pPr>
              <w:keepLines w:val="0"/>
              <w:pageBreakBefore w:val="0"/>
              <w:wordWrap/>
              <w:overflowPunct/>
              <w:topLinePunct w:val="0"/>
              <w:bidi w:val="0"/>
              <w:spacing w:line="360" w:lineRule="auto"/>
              <w:rPr>
                <w:b w:val="0"/>
                <w:bCs w:val="0"/>
                <w:sz w:val="18"/>
                <w:szCs w:val="18"/>
                <w:highlight w:val="none"/>
              </w:rPr>
            </w:pPr>
          </w:p>
        </w:tc>
        <w:tc>
          <w:tcPr>
            <w:tcW w:w="0" w:type="auto"/>
          </w:tcPr>
          <w:p w14:paraId="2095209C">
            <w:pPr>
              <w:keepLines w:val="0"/>
              <w:pageBreakBefore w:val="0"/>
              <w:wordWrap/>
              <w:overflowPunct/>
              <w:topLinePunct w:val="0"/>
              <w:bidi w:val="0"/>
              <w:spacing w:line="360" w:lineRule="auto"/>
              <w:rPr>
                <w:b w:val="0"/>
                <w:bCs w:val="0"/>
                <w:sz w:val="18"/>
                <w:szCs w:val="18"/>
                <w:highlight w:val="none"/>
              </w:rPr>
            </w:pPr>
          </w:p>
        </w:tc>
        <w:tc>
          <w:tcPr>
            <w:tcW w:w="0" w:type="auto"/>
          </w:tcPr>
          <w:p w14:paraId="3AC64550">
            <w:pPr>
              <w:keepLines w:val="0"/>
              <w:pageBreakBefore w:val="0"/>
              <w:wordWrap/>
              <w:overflowPunct/>
              <w:topLinePunct w:val="0"/>
              <w:bidi w:val="0"/>
              <w:spacing w:line="360" w:lineRule="auto"/>
              <w:rPr>
                <w:b w:val="0"/>
                <w:bCs w:val="0"/>
                <w:sz w:val="18"/>
                <w:szCs w:val="18"/>
                <w:highlight w:val="none"/>
              </w:rPr>
            </w:pPr>
          </w:p>
        </w:tc>
        <w:tc>
          <w:tcPr>
            <w:tcW w:w="0" w:type="auto"/>
          </w:tcPr>
          <w:p w14:paraId="2F11498B">
            <w:pPr>
              <w:keepLines w:val="0"/>
              <w:pageBreakBefore w:val="0"/>
              <w:wordWrap/>
              <w:overflowPunct/>
              <w:topLinePunct w:val="0"/>
              <w:bidi w:val="0"/>
              <w:spacing w:line="360" w:lineRule="auto"/>
              <w:rPr>
                <w:b w:val="0"/>
                <w:bCs w:val="0"/>
                <w:sz w:val="18"/>
                <w:szCs w:val="18"/>
                <w:highlight w:val="none"/>
              </w:rPr>
            </w:pPr>
          </w:p>
        </w:tc>
        <w:tc>
          <w:tcPr>
            <w:tcW w:w="0" w:type="auto"/>
          </w:tcPr>
          <w:p w14:paraId="04B67B6D">
            <w:pPr>
              <w:keepLines w:val="0"/>
              <w:pageBreakBefore w:val="0"/>
              <w:wordWrap/>
              <w:overflowPunct/>
              <w:topLinePunct w:val="0"/>
              <w:bidi w:val="0"/>
              <w:spacing w:line="360" w:lineRule="auto"/>
              <w:rPr>
                <w:b w:val="0"/>
                <w:bCs w:val="0"/>
                <w:sz w:val="18"/>
                <w:szCs w:val="18"/>
                <w:highlight w:val="none"/>
              </w:rPr>
            </w:pPr>
          </w:p>
        </w:tc>
        <w:tc>
          <w:tcPr>
            <w:tcW w:w="0" w:type="auto"/>
          </w:tcPr>
          <w:p w14:paraId="410C3D70">
            <w:pPr>
              <w:keepLines w:val="0"/>
              <w:pageBreakBefore w:val="0"/>
              <w:wordWrap/>
              <w:overflowPunct/>
              <w:topLinePunct w:val="0"/>
              <w:bidi w:val="0"/>
              <w:spacing w:line="360" w:lineRule="auto"/>
              <w:rPr>
                <w:b w:val="0"/>
                <w:bCs w:val="0"/>
                <w:sz w:val="18"/>
                <w:szCs w:val="18"/>
                <w:highlight w:val="none"/>
              </w:rPr>
            </w:pPr>
          </w:p>
        </w:tc>
      </w:tr>
      <w:tr w14:paraId="2E5C8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DB51EF3">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p>
        </w:tc>
        <w:tc>
          <w:tcPr>
            <w:tcW w:w="0" w:type="auto"/>
            <w:shd w:val="clear" w:color="auto" w:fill="auto"/>
            <w:vAlign w:val="top"/>
          </w:tcPr>
          <w:p w14:paraId="60D3C539">
            <w:pPr>
              <w:keepLines w:val="0"/>
              <w:pageBreakBefore w:val="0"/>
              <w:wordWrap/>
              <w:overflowPunct/>
              <w:topLinePunct w:val="0"/>
              <w:bidi w:val="0"/>
              <w:spacing w:line="360" w:lineRule="auto"/>
              <w:rPr>
                <w:rFonts w:hint="default" w:ascii="Times New Roman" w:hAnsi="Times New Roman" w:cs="Times New Roman" w:eastAsiaTheme="minorEastAsia"/>
                <w:b w:val="0"/>
                <w:bCs w:val="0"/>
                <w:kern w:val="2"/>
                <w:sz w:val="18"/>
                <w:szCs w:val="18"/>
                <w:highlight w:val="none"/>
                <w:lang w:val="en-US" w:eastAsia="zh-CN" w:bidi="ar-SA"/>
              </w:rPr>
            </w:pPr>
            <w:r>
              <w:rPr>
                <w:rFonts w:hint="default" w:ascii="Times New Roman" w:hAnsi="Times New Roman" w:cs="Times New Roman"/>
                <w:b w:val="0"/>
                <w:bCs w:val="0"/>
                <w:sz w:val="18"/>
                <w:szCs w:val="18"/>
                <w:highlight w:val="none"/>
              </w:rPr>
              <w:t>22-19-16</w:t>
            </w:r>
            <w:r>
              <w:rPr>
                <w:rFonts w:hint="default" w:ascii="Times New Roman" w:hAnsi="Times New Roman" w:cs="Times New Roman"/>
                <w:b w:val="0"/>
                <w:bCs w:val="0"/>
                <w:sz w:val="18"/>
                <w:szCs w:val="18"/>
                <w:highlight w:val="none"/>
                <w:lang w:val="en-US" w:eastAsia="zh-CN"/>
              </w:rPr>
              <w:t>+NAM</w:t>
            </w:r>
          </w:p>
        </w:tc>
        <w:tc>
          <w:tcPr>
            <w:tcW w:w="0" w:type="auto"/>
            <w:shd w:val="clear" w:color="auto" w:fill="auto"/>
            <w:vAlign w:val="center"/>
          </w:tcPr>
          <w:p w14:paraId="35AD0BC6">
            <w:pPr>
              <w:keepNext w:val="0"/>
              <w:keepLines w:val="0"/>
              <w:pageBreakBefore w:val="0"/>
              <w:widowControl/>
              <w:suppressLineNumbers w:val="0"/>
              <w:wordWrap/>
              <w:overflowPunct/>
              <w:topLinePunct w:val="0"/>
              <w:bidi w:val="0"/>
              <w:spacing w:line="360" w:lineRule="auto"/>
              <w:jc w:val="right"/>
              <w:textAlignment w:val="center"/>
              <w:rPr>
                <w:rFonts w:asciiTheme="minorHAnsi" w:hAnsiTheme="minorHAnsi" w:eastAsiaTheme="minorEastAsia" w:cstheme="minorBidi"/>
                <w:b w:val="0"/>
                <w:bCs w:val="0"/>
                <w:kern w:val="2"/>
                <w:sz w:val="18"/>
                <w:szCs w:val="18"/>
                <w:highlight w:val="none"/>
                <w:lang w:val="en-US" w:eastAsia="zh-CN" w:bidi="ar-SA"/>
              </w:rPr>
            </w:pPr>
            <w:r>
              <w:rPr>
                <w:rFonts w:hint="eastAsia" w:ascii="等线" w:hAnsi="等线" w:eastAsia="等线" w:cs="等线"/>
                <w:b w:val="0"/>
                <w:bCs w:val="0"/>
                <w:i w:val="0"/>
                <w:iCs w:val="0"/>
                <w:color w:val="FF0000"/>
                <w:kern w:val="0"/>
                <w:sz w:val="18"/>
                <w:szCs w:val="18"/>
                <w:highlight w:val="none"/>
                <w:u w:val="none"/>
                <w:lang w:val="en-US" w:eastAsia="zh-CN" w:bidi="ar"/>
              </w:rPr>
              <w:t xml:space="preserve">-6.70 </w:t>
            </w:r>
          </w:p>
        </w:tc>
        <w:tc>
          <w:tcPr>
            <w:tcW w:w="0" w:type="auto"/>
          </w:tcPr>
          <w:p w14:paraId="30A24999">
            <w:pPr>
              <w:keepLines w:val="0"/>
              <w:pageBreakBefore w:val="0"/>
              <w:wordWrap/>
              <w:overflowPunct/>
              <w:topLinePunct w:val="0"/>
              <w:bidi w:val="0"/>
              <w:spacing w:line="360" w:lineRule="auto"/>
              <w:rPr>
                <w:b w:val="0"/>
                <w:bCs w:val="0"/>
                <w:sz w:val="18"/>
                <w:szCs w:val="18"/>
                <w:highlight w:val="none"/>
              </w:rPr>
            </w:pPr>
          </w:p>
        </w:tc>
        <w:tc>
          <w:tcPr>
            <w:tcW w:w="0" w:type="auto"/>
          </w:tcPr>
          <w:p w14:paraId="4803D4B0">
            <w:pPr>
              <w:keepLines w:val="0"/>
              <w:pageBreakBefore w:val="0"/>
              <w:wordWrap/>
              <w:overflowPunct/>
              <w:topLinePunct w:val="0"/>
              <w:bidi w:val="0"/>
              <w:spacing w:line="360" w:lineRule="auto"/>
              <w:rPr>
                <w:b w:val="0"/>
                <w:bCs w:val="0"/>
                <w:sz w:val="18"/>
                <w:szCs w:val="18"/>
                <w:highlight w:val="none"/>
              </w:rPr>
            </w:pPr>
          </w:p>
        </w:tc>
        <w:tc>
          <w:tcPr>
            <w:tcW w:w="0" w:type="auto"/>
          </w:tcPr>
          <w:p w14:paraId="130DC415">
            <w:pPr>
              <w:keepLines w:val="0"/>
              <w:pageBreakBefore w:val="0"/>
              <w:wordWrap/>
              <w:overflowPunct/>
              <w:topLinePunct w:val="0"/>
              <w:bidi w:val="0"/>
              <w:spacing w:line="360" w:lineRule="auto"/>
              <w:rPr>
                <w:b w:val="0"/>
                <w:bCs w:val="0"/>
                <w:sz w:val="18"/>
                <w:szCs w:val="18"/>
                <w:highlight w:val="none"/>
              </w:rPr>
            </w:pPr>
          </w:p>
        </w:tc>
        <w:tc>
          <w:tcPr>
            <w:tcW w:w="0" w:type="auto"/>
          </w:tcPr>
          <w:p w14:paraId="15CAA1D0">
            <w:pPr>
              <w:keepLines w:val="0"/>
              <w:pageBreakBefore w:val="0"/>
              <w:wordWrap/>
              <w:overflowPunct/>
              <w:topLinePunct w:val="0"/>
              <w:bidi w:val="0"/>
              <w:spacing w:line="360" w:lineRule="auto"/>
              <w:rPr>
                <w:b w:val="0"/>
                <w:bCs w:val="0"/>
                <w:sz w:val="18"/>
                <w:szCs w:val="18"/>
                <w:highlight w:val="none"/>
              </w:rPr>
            </w:pPr>
          </w:p>
        </w:tc>
        <w:tc>
          <w:tcPr>
            <w:tcW w:w="0" w:type="auto"/>
          </w:tcPr>
          <w:p w14:paraId="5D4FF96C">
            <w:pPr>
              <w:keepLines w:val="0"/>
              <w:pageBreakBefore w:val="0"/>
              <w:wordWrap/>
              <w:overflowPunct/>
              <w:topLinePunct w:val="0"/>
              <w:bidi w:val="0"/>
              <w:spacing w:line="360" w:lineRule="auto"/>
              <w:rPr>
                <w:b w:val="0"/>
                <w:bCs w:val="0"/>
                <w:sz w:val="18"/>
                <w:szCs w:val="18"/>
                <w:highlight w:val="none"/>
              </w:rPr>
            </w:pPr>
          </w:p>
        </w:tc>
        <w:tc>
          <w:tcPr>
            <w:tcW w:w="0" w:type="auto"/>
          </w:tcPr>
          <w:p w14:paraId="45FB77C6">
            <w:pPr>
              <w:keepLines w:val="0"/>
              <w:pageBreakBefore w:val="0"/>
              <w:wordWrap/>
              <w:overflowPunct/>
              <w:topLinePunct w:val="0"/>
              <w:bidi w:val="0"/>
              <w:spacing w:line="360" w:lineRule="auto"/>
              <w:rPr>
                <w:b w:val="0"/>
                <w:bCs w:val="0"/>
                <w:sz w:val="18"/>
                <w:szCs w:val="18"/>
                <w:highlight w:val="none"/>
              </w:rPr>
            </w:pPr>
          </w:p>
        </w:tc>
        <w:tc>
          <w:tcPr>
            <w:tcW w:w="0" w:type="auto"/>
          </w:tcPr>
          <w:p w14:paraId="1CF99B99">
            <w:pPr>
              <w:keepLines w:val="0"/>
              <w:pageBreakBefore w:val="0"/>
              <w:wordWrap/>
              <w:overflowPunct/>
              <w:topLinePunct w:val="0"/>
              <w:bidi w:val="0"/>
              <w:spacing w:line="360" w:lineRule="auto"/>
              <w:rPr>
                <w:b w:val="0"/>
                <w:bCs w:val="0"/>
                <w:sz w:val="18"/>
                <w:szCs w:val="18"/>
                <w:highlight w:val="none"/>
              </w:rPr>
            </w:pPr>
          </w:p>
        </w:tc>
      </w:tr>
    </w:tbl>
    <w:p w14:paraId="095948D6">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注：N×2、N×20、N×50分别表示培养体系的肥料氮添加量是原本添加量的2倍、2倍和50倍。厌氧和微厌氧分别表示原始的盖盖培养模式和盖Para膜培养模式。</w:t>
      </w:r>
    </w:p>
    <w:p w14:paraId="714F48CC">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3.3.2 企业收集肥料样品土壤硝化潜势抑制差异率的再次测定</w:t>
      </w:r>
    </w:p>
    <w:p w14:paraId="4E99EF2C">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优化后测定方法再次测定22个稳定性肥料样品的土壤硝化潜势结果如表8所示，依旧只有8个样品的土壤硝化潜势差异率明显，能对土壤硝化潜势产生明显的抑制效果。在排除检测方法的干扰因子后，我们推测引起样品检测结果不理想的原因可能是由于肥料样品中的总氮、尿素、铵态氮、硝态氮、缩二脲等氮组分未测定准确，因而对照中的氮组分和含量计算不准确，导致硝化潜势差异率测定结果误差。</w:t>
      </w:r>
    </w:p>
    <w:p w14:paraId="5EBE5A2E">
      <w:pPr>
        <w:keepLines w:val="0"/>
        <w:pageBreakBefore w:val="0"/>
        <w:wordWrap/>
        <w:overflowPunct/>
        <w:topLinePunct w:val="0"/>
        <w:bidi w:val="0"/>
        <w:spacing w:line="360" w:lineRule="auto"/>
        <w:ind w:firstLine="422" w:firstLineChars="200"/>
        <w:jc w:val="center"/>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b/>
          <w:bCs/>
          <w:szCs w:val="21"/>
          <w:lang w:val="en-US" w:eastAsia="zh-CN"/>
        </w:rPr>
        <w:t>表8 企业22个稳定性肥料</w:t>
      </w:r>
      <w:r>
        <w:rPr>
          <w:rFonts w:hint="eastAsia" w:ascii="Times New Roman" w:hAnsi="Times New Roman" w:eastAsia="宋体" w:cs="Times New Roman"/>
          <w:b/>
          <w:szCs w:val="21"/>
          <w:lang w:val="en-US" w:eastAsia="zh-CN"/>
        </w:rPr>
        <w:t>土壤硝化潜势差异率（RNP）</w:t>
      </w:r>
      <w:r>
        <w:rPr>
          <w:rFonts w:hint="eastAsia" w:ascii="Times New Roman" w:hAnsi="Times New Roman" w:eastAsia="宋体" w:cs="Times New Roman"/>
          <w:b/>
          <w:bCs/>
          <w:szCs w:val="21"/>
          <w:lang w:val="en-US" w:eastAsia="zh-CN"/>
        </w:rPr>
        <w:t>再次测定</w:t>
      </w:r>
    </w:p>
    <w:tbl>
      <w:tblPr>
        <w:tblStyle w:val="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3"/>
        <w:gridCol w:w="2141"/>
        <w:gridCol w:w="1814"/>
        <w:gridCol w:w="1435"/>
        <w:gridCol w:w="1966"/>
      </w:tblGrid>
      <w:tr w14:paraId="018ED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2" w:type="pct"/>
          </w:tcPr>
          <w:p w14:paraId="3E3CAC2D">
            <w:pPr>
              <w:keepLines w:val="0"/>
              <w:pageBreakBefore w:val="0"/>
              <w:wordWrap/>
              <w:overflowPunct/>
              <w:topLinePunct w:val="0"/>
              <w:bidi w:val="0"/>
              <w:spacing w:line="360" w:lineRule="auto"/>
              <w:rPr>
                <w:rFonts w:ascii="Times New Roman" w:hAnsi="Times New Roman" w:eastAsia="宋体" w:cs="Times New Roman"/>
                <w:b w:val="0"/>
                <w:bCs w:val="0"/>
                <w:szCs w:val="21"/>
              </w:rPr>
            </w:pPr>
          </w:p>
        </w:tc>
        <w:tc>
          <w:tcPr>
            <w:tcW w:w="1256" w:type="pct"/>
            <w:vAlign w:val="center"/>
          </w:tcPr>
          <w:p w14:paraId="6C1AF9DC">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b w:val="0"/>
                <w:bCs w:val="0"/>
                <w:sz w:val="18"/>
                <w:szCs w:val="18"/>
              </w:rPr>
            </w:pPr>
            <w:r>
              <w:rPr>
                <w:rStyle w:val="14"/>
                <w:b w:val="0"/>
                <w:bCs w:val="0"/>
                <w:lang w:val="en-US" w:eastAsia="zh-CN" w:bidi="ar"/>
              </w:rPr>
              <w:t>厂家</w:t>
            </w:r>
          </w:p>
        </w:tc>
        <w:tc>
          <w:tcPr>
            <w:tcW w:w="1064" w:type="pct"/>
            <w:vAlign w:val="center"/>
          </w:tcPr>
          <w:p w14:paraId="7C38A9A4">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b w:val="0"/>
                <w:bCs w:val="0"/>
                <w:sz w:val="18"/>
                <w:szCs w:val="18"/>
                <w:lang w:val="en-US" w:eastAsia="zh-CN"/>
              </w:rPr>
            </w:pPr>
            <w:r>
              <w:rPr>
                <w:rStyle w:val="14"/>
                <w:b w:val="0"/>
                <w:bCs w:val="0"/>
                <w:lang w:val="en-US" w:eastAsia="zh-CN" w:bidi="ar"/>
              </w:rPr>
              <w:t>配方</w:t>
            </w:r>
          </w:p>
        </w:tc>
        <w:tc>
          <w:tcPr>
            <w:tcW w:w="842" w:type="pct"/>
            <w:shd w:val="clear" w:color="auto" w:fill="auto"/>
            <w:vAlign w:val="top"/>
          </w:tcPr>
          <w:p w14:paraId="1B0CD9CE">
            <w:pPr>
              <w:keepLines w:val="0"/>
              <w:pageBreakBefore w:val="0"/>
              <w:wordWrap/>
              <w:overflowPunct/>
              <w:topLinePunct w:val="0"/>
              <w:bidi w:val="0"/>
              <w:spacing w:line="360" w:lineRule="auto"/>
              <w:rPr>
                <w:rFonts w:hint="eastAsia" w:ascii="Times New Roman" w:hAnsi="Times New Roman" w:eastAsia="宋体" w:cs="Times New Roman"/>
                <w:b w:val="0"/>
                <w:bCs w:val="0"/>
                <w:kern w:val="2"/>
                <w:sz w:val="18"/>
                <w:szCs w:val="18"/>
                <w:lang w:val="en-US" w:eastAsia="zh-CN" w:bidi="ar-SA"/>
              </w:rPr>
            </w:pPr>
            <w:r>
              <w:rPr>
                <w:rFonts w:hint="eastAsia" w:ascii="Times New Roman" w:hAnsi="Times New Roman" w:eastAsia="宋体" w:cs="Times New Roman"/>
                <w:b w:val="0"/>
                <w:bCs w:val="0"/>
                <w:sz w:val="18"/>
                <w:szCs w:val="18"/>
                <w:lang w:val="en-US" w:eastAsia="zh-CN"/>
              </w:rPr>
              <w:t>RNP %（原）</w:t>
            </w:r>
          </w:p>
        </w:tc>
        <w:tc>
          <w:tcPr>
            <w:tcW w:w="1153" w:type="pct"/>
            <w:shd w:val="clear" w:color="auto" w:fill="auto"/>
            <w:vAlign w:val="top"/>
          </w:tcPr>
          <w:p w14:paraId="6039A7F2">
            <w:pPr>
              <w:keepLines w:val="0"/>
              <w:pageBreakBefore w:val="0"/>
              <w:wordWrap/>
              <w:overflowPunct/>
              <w:topLinePunct w:val="0"/>
              <w:bidi w:val="0"/>
              <w:spacing w:line="360" w:lineRule="auto"/>
              <w:rPr>
                <w:rFonts w:hint="eastAsia" w:ascii="Times New Roman" w:hAnsi="Times New Roman" w:eastAsia="宋体" w:cs="Times New Roman"/>
                <w:b w:val="0"/>
                <w:bCs w:val="0"/>
                <w:kern w:val="2"/>
                <w:sz w:val="18"/>
                <w:szCs w:val="18"/>
                <w:lang w:val="en-US" w:eastAsia="zh-CN" w:bidi="ar-SA"/>
              </w:rPr>
            </w:pPr>
            <w:r>
              <w:rPr>
                <w:rFonts w:hint="eastAsia" w:ascii="Times New Roman" w:hAnsi="Times New Roman" w:eastAsia="宋体" w:cs="Times New Roman"/>
                <w:b w:val="0"/>
                <w:bCs w:val="0"/>
                <w:sz w:val="18"/>
                <w:szCs w:val="18"/>
                <w:lang w:val="en-US" w:eastAsia="zh-CN"/>
              </w:rPr>
              <w:t>RNP %（重测）</w:t>
            </w:r>
          </w:p>
        </w:tc>
      </w:tr>
      <w:tr w14:paraId="19FE2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tcPr>
          <w:p w14:paraId="660D43B0">
            <w:pPr>
              <w:keepLines w:val="0"/>
              <w:pageBreakBefore w:val="0"/>
              <w:wordWrap/>
              <w:overflowPunct/>
              <w:topLinePunct w:val="0"/>
              <w:bidi w:val="0"/>
              <w:spacing w:line="360" w:lineRule="auto"/>
              <w:rPr>
                <w:rFonts w:ascii="Times New Roman" w:hAnsi="Times New Roman" w:eastAsia="宋体" w:cs="Times New Roman"/>
                <w:b w:val="0"/>
                <w:bCs w:val="0"/>
                <w:szCs w:val="21"/>
              </w:rPr>
            </w:pPr>
            <w:r>
              <w:rPr>
                <w:rFonts w:ascii="Times New Roman" w:hAnsi="Times New Roman" w:eastAsia="宋体" w:cs="Times New Roman"/>
                <w:b w:val="0"/>
                <w:bCs w:val="0"/>
                <w:szCs w:val="21"/>
              </w:rPr>
              <w:t>（1）</w:t>
            </w:r>
          </w:p>
        </w:tc>
        <w:tc>
          <w:tcPr>
            <w:tcW w:w="1256" w:type="pct"/>
            <w:vAlign w:val="center"/>
          </w:tcPr>
          <w:p w14:paraId="2FE4C16A">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b w:val="0"/>
                <w:bCs w:val="0"/>
                <w:szCs w:val="21"/>
              </w:rPr>
            </w:pPr>
            <w:r>
              <w:rPr>
                <w:rFonts w:hint="eastAsia" w:ascii="宋体" w:hAnsi="宋体" w:eastAsia="宋体" w:cs="宋体"/>
                <w:b w:val="0"/>
                <w:bCs w:val="0"/>
                <w:i w:val="0"/>
                <w:iCs w:val="0"/>
                <w:color w:val="000000"/>
                <w:kern w:val="0"/>
                <w:sz w:val="24"/>
                <w:szCs w:val="24"/>
                <w:u w:val="none"/>
                <w:lang w:val="en-US" w:eastAsia="zh-CN" w:bidi="ar"/>
              </w:rPr>
              <w:t>蓝天宝丰</w:t>
            </w:r>
          </w:p>
        </w:tc>
        <w:tc>
          <w:tcPr>
            <w:tcW w:w="1064" w:type="pct"/>
            <w:vAlign w:val="center"/>
          </w:tcPr>
          <w:p w14:paraId="00DFC288">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000000"/>
                <w:kern w:val="0"/>
                <w:sz w:val="24"/>
                <w:szCs w:val="24"/>
                <w:u w:val="none"/>
                <w:lang w:val="en-US" w:eastAsia="zh-CN" w:bidi="ar"/>
              </w:rPr>
              <w:t>20-0-5</w:t>
            </w:r>
          </w:p>
        </w:tc>
        <w:tc>
          <w:tcPr>
            <w:tcW w:w="842" w:type="pct"/>
            <w:shd w:val="clear" w:color="auto" w:fill="auto"/>
            <w:vAlign w:val="center"/>
          </w:tcPr>
          <w:p w14:paraId="297634A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i w:val="0"/>
                <w:iCs w:val="0"/>
                <w:color w:val="000000"/>
                <w:kern w:val="0"/>
                <w:sz w:val="24"/>
                <w:szCs w:val="24"/>
                <w:u w:val="none"/>
                <w:lang w:val="en-US" w:eastAsia="zh-CN" w:bidi="ar"/>
              </w:rPr>
            </w:pPr>
            <w:r>
              <w:rPr>
                <w:rFonts w:hint="eastAsia" w:ascii="等线" w:hAnsi="等线" w:eastAsia="等线" w:cs="等线"/>
                <w:b w:val="0"/>
                <w:bCs w:val="0"/>
                <w:i w:val="0"/>
                <w:iCs w:val="0"/>
                <w:color w:val="000000"/>
                <w:kern w:val="0"/>
                <w:sz w:val="22"/>
                <w:szCs w:val="22"/>
                <w:u w:val="none"/>
                <w:lang w:val="en-US" w:eastAsia="zh-CN" w:bidi="ar"/>
              </w:rPr>
              <w:t xml:space="preserve">7.69 </w:t>
            </w:r>
          </w:p>
        </w:tc>
        <w:tc>
          <w:tcPr>
            <w:tcW w:w="1153" w:type="pct"/>
            <w:shd w:val="clear" w:color="auto" w:fill="auto"/>
            <w:vAlign w:val="center"/>
          </w:tcPr>
          <w:p w14:paraId="54023A17">
            <w:pPr>
              <w:keepNext w:val="0"/>
              <w:keepLines w:val="0"/>
              <w:pageBreakBefore w:val="0"/>
              <w:widowControl/>
              <w:suppressLineNumbers w:val="0"/>
              <w:wordWrap/>
              <w:overflowPunct/>
              <w:topLinePunct w:val="0"/>
              <w:bidi w:val="0"/>
              <w:spacing w:line="360" w:lineRule="auto"/>
              <w:jc w:val="right"/>
              <w:textAlignment w:val="center"/>
              <w:rPr>
                <w:rFonts w:hint="default" w:ascii="等线" w:hAnsi="等线" w:eastAsia="等线" w:cs="等线"/>
                <w:b w:val="0"/>
                <w:bCs w:val="0"/>
                <w:i w:val="0"/>
                <w:iCs w:val="0"/>
                <w:color w:val="auto"/>
                <w:kern w:val="0"/>
                <w:sz w:val="22"/>
                <w:szCs w:val="22"/>
                <w:u w:val="none"/>
                <w:lang w:val="en-US" w:eastAsia="zh-CN" w:bidi="ar"/>
              </w:rPr>
            </w:pPr>
            <w:r>
              <w:rPr>
                <w:rFonts w:hint="eastAsia" w:ascii="等线" w:hAnsi="等线" w:eastAsia="等线" w:cs="等线"/>
                <w:b w:val="0"/>
                <w:bCs w:val="0"/>
                <w:i w:val="0"/>
                <w:iCs w:val="0"/>
                <w:color w:val="auto"/>
                <w:kern w:val="0"/>
                <w:sz w:val="22"/>
                <w:szCs w:val="22"/>
                <w:u w:val="none"/>
                <w:lang w:val="en-US" w:eastAsia="zh-CN" w:bidi="ar"/>
              </w:rPr>
              <w:t xml:space="preserve">-2.14 </w:t>
            </w:r>
          </w:p>
        </w:tc>
      </w:tr>
      <w:tr w14:paraId="2258A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tcPr>
          <w:p w14:paraId="0DE7821B">
            <w:pPr>
              <w:keepLines w:val="0"/>
              <w:pageBreakBefore w:val="0"/>
              <w:wordWrap/>
              <w:overflowPunct/>
              <w:topLinePunct w:val="0"/>
              <w:bidi w:val="0"/>
              <w:spacing w:line="360" w:lineRule="auto"/>
              <w:rPr>
                <w:rFonts w:ascii="Times New Roman" w:hAnsi="Times New Roman" w:eastAsia="宋体" w:cs="Times New Roman"/>
                <w:b w:val="0"/>
                <w:bCs w:val="0"/>
                <w:szCs w:val="21"/>
              </w:rPr>
            </w:pPr>
            <w:r>
              <w:rPr>
                <w:rFonts w:ascii="Times New Roman" w:hAnsi="Times New Roman" w:eastAsia="宋体" w:cs="Times New Roman"/>
                <w:b w:val="0"/>
                <w:bCs w:val="0"/>
                <w:szCs w:val="21"/>
              </w:rPr>
              <w:t>（2）</w:t>
            </w:r>
          </w:p>
        </w:tc>
        <w:tc>
          <w:tcPr>
            <w:tcW w:w="1256" w:type="pct"/>
            <w:vAlign w:val="center"/>
          </w:tcPr>
          <w:p w14:paraId="67B41DC3">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b w:val="0"/>
                <w:bCs w:val="0"/>
                <w:szCs w:val="21"/>
              </w:rPr>
            </w:pPr>
            <w:r>
              <w:rPr>
                <w:rFonts w:hint="eastAsia" w:ascii="宋体" w:hAnsi="宋体" w:eastAsia="宋体" w:cs="宋体"/>
                <w:b w:val="0"/>
                <w:bCs w:val="0"/>
                <w:i w:val="0"/>
                <w:iCs w:val="0"/>
                <w:color w:val="000000"/>
                <w:kern w:val="0"/>
                <w:sz w:val="24"/>
                <w:szCs w:val="24"/>
                <w:u w:val="none"/>
                <w:lang w:val="en-US" w:eastAsia="zh-CN" w:bidi="ar"/>
              </w:rPr>
              <w:t>蓝天宝丰</w:t>
            </w:r>
          </w:p>
        </w:tc>
        <w:tc>
          <w:tcPr>
            <w:tcW w:w="1064" w:type="pct"/>
            <w:vAlign w:val="center"/>
          </w:tcPr>
          <w:p w14:paraId="60035A89">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000000"/>
                <w:kern w:val="0"/>
                <w:sz w:val="24"/>
                <w:szCs w:val="24"/>
                <w:u w:val="none"/>
                <w:lang w:val="en-US" w:eastAsia="zh-CN" w:bidi="ar"/>
              </w:rPr>
              <w:t>20-5-7</w:t>
            </w:r>
          </w:p>
        </w:tc>
        <w:tc>
          <w:tcPr>
            <w:tcW w:w="842" w:type="pct"/>
            <w:shd w:val="clear" w:color="auto" w:fill="auto"/>
            <w:vAlign w:val="center"/>
          </w:tcPr>
          <w:p w14:paraId="20F39FC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i w:val="0"/>
                <w:iCs w:val="0"/>
                <w:color w:val="000000"/>
                <w:kern w:val="0"/>
                <w:sz w:val="24"/>
                <w:szCs w:val="24"/>
                <w:u w:val="none"/>
                <w:lang w:val="en-US" w:eastAsia="zh-CN" w:bidi="ar"/>
              </w:rPr>
            </w:pPr>
            <w:r>
              <w:rPr>
                <w:rFonts w:hint="eastAsia" w:ascii="等线" w:hAnsi="等线" w:eastAsia="等线" w:cs="等线"/>
                <w:b w:val="0"/>
                <w:bCs w:val="0"/>
                <w:i w:val="0"/>
                <w:iCs w:val="0"/>
                <w:color w:val="000000"/>
                <w:kern w:val="0"/>
                <w:sz w:val="22"/>
                <w:szCs w:val="22"/>
                <w:u w:val="none"/>
                <w:lang w:val="en-US" w:eastAsia="zh-CN" w:bidi="ar"/>
              </w:rPr>
              <w:t xml:space="preserve">-6.92 </w:t>
            </w:r>
          </w:p>
        </w:tc>
        <w:tc>
          <w:tcPr>
            <w:tcW w:w="1153" w:type="pct"/>
            <w:shd w:val="clear" w:color="auto" w:fill="auto"/>
            <w:vAlign w:val="center"/>
          </w:tcPr>
          <w:p w14:paraId="03B475E5">
            <w:pPr>
              <w:keepNext w:val="0"/>
              <w:keepLines w:val="0"/>
              <w:pageBreakBefore w:val="0"/>
              <w:widowControl/>
              <w:suppressLineNumbers w:val="0"/>
              <w:wordWrap/>
              <w:overflowPunct/>
              <w:topLinePunct w:val="0"/>
              <w:bidi w:val="0"/>
              <w:spacing w:line="360" w:lineRule="auto"/>
              <w:jc w:val="right"/>
              <w:textAlignment w:val="center"/>
              <w:rPr>
                <w:rFonts w:hint="default" w:ascii="等线" w:hAnsi="等线" w:eastAsia="等线" w:cs="等线"/>
                <w:b w:val="0"/>
                <w:bCs w:val="0"/>
                <w:i w:val="0"/>
                <w:iCs w:val="0"/>
                <w:color w:val="auto"/>
                <w:kern w:val="0"/>
                <w:sz w:val="22"/>
                <w:szCs w:val="22"/>
                <w:u w:val="none"/>
                <w:lang w:val="en-US" w:eastAsia="zh-CN" w:bidi="ar"/>
              </w:rPr>
            </w:pPr>
            <w:r>
              <w:rPr>
                <w:rFonts w:hint="eastAsia" w:ascii="等线" w:hAnsi="等线" w:eastAsia="等线" w:cs="等线"/>
                <w:b w:val="0"/>
                <w:bCs w:val="0"/>
                <w:i w:val="0"/>
                <w:iCs w:val="0"/>
                <w:color w:val="auto"/>
                <w:kern w:val="0"/>
                <w:sz w:val="22"/>
                <w:szCs w:val="22"/>
                <w:u w:val="none"/>
                <w:lang w:val="en-US" w:eastAsia="zh-CN" w:bidi="ar"/>
              </w:rPr>
              <w:t xml:space="preserve">8.07 </w:t>
            </w:r>
          </w:p>
        </w:tc>
      </w:tr>
      <w:tr w14:paraId="406BE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shd w:val="clear" w:color="auto" w:fill="auto"/>
            <w:vAlign w:val="top"/>
          </w:tcPr>
          <w:p w14:paraId="73FC1E9F">
            <w:pPr>
              <w:keepLines w:val="0"/>
              <w:pageBreakBefore w:val="0"/>
              <w:wordWrap/>
              <w:overflowPunct/>
              <w:topLinePunct w:val="0"/>
              <w:bidi w:val="0"/>
              <w:spacing w:line="360" w:lineRule="auto"/>
              <w:rPr>
                <w:rFonts w:ascii="Times New Roman" w:hAnsi="Times New Roman" w:eastAsia="宋体" w:cs="Times New Roman"/>
                <w:b w:val="0"/>
                <w:bCs w:val="0"/>
                <w:kern w:val="2"/>
                <w:sz w:val="21"/>
                <w:szCs w:val="21"/>
                <w:lang w:val="en-US" w:eastAsia="zh-CN" w:bidi="ar-SA"/>
              </w:rPr>
            </w:pPr>
            <w:r>
              <w:rPr>
                <w:rFonts w:ascii="Times New Roman" w:hAnsi="Times New Roman" w:eastAsia="宋体" w:cs="Times New Roman"/>
                <w:b w:val="0"/>
                <w:bCs w:val="0"/>
                <w:szCs w:val="21"/>
              </w:rPr>
              <w:t>（3）</w:t>
            </w:r>
          </w:p>
        </w:tc>
        <w:tc>
          <w:tcPr>
            <w:tcW w:w="1256" w:type="pct"/>
            <w:shd w:val="clear" w:color="auto" w:fill="auto"/>
            <w:vAlign w:val="center"/>
          </w:tcPr>
          <w:p w14:paraId="298F8745">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b w:val="0"/>
                <w:bCs w:val="0"/>
                <w:kern w:val="2"/>
                <w:sz w:val="21"/>
                <w:szCs w:val="21"/>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蓝天宝丰</w:t>
            </w:r>
          </w:p>
        </w:tc>
        <w:tc>
          <w:tcPr>
            <w:tcW w:w="1064" w:type="pct"/>
            <w:vAlign w:val="center"/>
          </w:tcPr>
          <w:p w14:paraId="58209270">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000000"/>
                <w:kern w:val="0"/>
                <w:sz w:val="24"/>
                <w:szCs w:val="24"/>
                <w:u w:val="none"/>
                <w:lang w:val="en-US" w:eastAsia="zh-CN" w:bidi="ar"/>
              </w:rPr>
              <w:t>24-6-10</w:t>
            </w:r>
          </w:p>
        </w:tc>
        <w:tc>
          <w:tcPr>
            <w:tcW w:w="842" w:type="pct"/>
            <w:shd w:val="clear" w:color="auto" w:fill="auto"/>
            <w:vAlign w:val="center"/>
          </w:tcPr>
          <w:p w14:paraId="6ED5FE6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i w:val="0"/>
                <w:iCs w:val="0"/>
                <w:color w:val="000000"/>
                <w:kern w:val="0"/>
                <w:sz w:val="24"/>
                <w:szCs w:val="24"/>
                <w:u w:val="none"/>
                <w:lang w:val="en-US" w:eastAsia="zh-CN" w:bidi="ar"/>
              </w:rPr>
            </w:pPr>
            <w:r>
              <w:rPr>
                <w:rFonts w:hint="eastAsia" w:ascii="等线" w:hAnsi="等线" w:eastAsia="等线" w:cs="等线"/>
                <w:b w:val="0"/>
                <w:bCs w:val="0"/>
                <w:i w:val="0"/>
                <w:iCs w:val="0"/>
                <w:color w:val="000000"/>
                <w:kern w:val="0"/>
                <w:sz w:val="22"/>
                <w:szCs w:val="22"/>
                <w:u w:val="none"/>
                <w:lang w:val="en-US" w:eastAsia="zh-CN" w:bidi="ar"/>
              </w:rPr>
              <w:t xml:space="preserve">1.40 </w:t>
            </w:r>
          </w:p>
        </w:tc>
        <w:tc>
          <w:tcPr>
            <w:tcW w:w="1153" w:type="pct"/>
            <w:shd w:val="clear" w:color="auto" w:fill="auto"/>
            <w:vAlign w:val="center"/>
          </w:tcPr>
          <w:p w14:paraId="711F7F28">
            <w:pPr>
              <w:keepNext w:val="0"/>
              <w:keepLines w:val="0"/>
              <w:pageBreakBefore w:val="0"/>
              <w:widowControl/>
              <w:suppressLineNumbers w:val="0"/>
              <w:wordWrap/>
              <w:overflowPunct/>
              <w:topLinePunct w:val="0"/>
              <w:bidi w:val="0"/>
              <w:spacing w:line="360" w:lineRule="auto"/>
              <w:jc w:val="right"/>
              <w:textAlignment w:val="center"/>
              <w:rPr>
                <w:rFonts w:hint="default" w:ascii="等线" w:hAnsi="等线" w:eastAsia="等线" w:cs="等线"/>
                <w:b w:val="0"/>
                <w:bCs w:val="0"/>
                <w:i w:val="0"/>
                <w:iCs w:val="0"/>
                <w:color w:val="auto"/>
                <w:kern w:val="0"/>
                <w:sz w:val="22"/>
                <w:szCs w:val="22"/>
                <w:u w:val="none"/>
                <w:lang w:val="en-US" w:eastAsia="zh-CN" w:bidi="ar"/>
              </w:rPr>
            </w:pPr>
            <w:r>
              <w:rPr>
                <w:rFonts w:hint="eastAsia" w:ascii="等线" w:hAnsi="等线" w:eastAsia="等线" w:cs="等线"/>
                <w:b w:val="0"/>
                <w:bCs w:val="0"/>
                <w:i w:val="0"/>
                <w:iCs w:val="0"/>
                <w:color w:val="auto"/>
                <w:kern w:val="0"/>
                <w:sz w:val="22"/>
                <w:szCs w:val="22"/>
                <w:u w:val="none"/>
                <w:lang w:val="en-US" w:eastAsia="zh-CN" w:bidi="ar"/>
              </w:rPr>
              <w:t xml:space="preserve">2.31 </w:t>
            </w:r>
          </w:p>
        </w:tc>
      </w:tr>
      <w:tr w14:paraId="320D5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shd w:val="clear" w:color="auto" w:fill="auto"/>
            <w:vAlign w:val="top"/>
          </w:tcPr>
          <w:p w14:paraId="40A142EB">
            <w:pPr>
              <w:keepLines w:val="0"/>
              <w:pageBreakBefore w:val="0"/>
              <w:wordWrap/>
              <w:overflowPunct/>
              <w:topLinePunct w:val="0"/>
              <w:bidi w:val="0"/>
              <w:spacing w:line="360" w:lineRule="auto"/>
              <w:rPr>
                <w:rFonts w:ascii="Times New Roman" w:hAnsi="Times New Roman" w:eastAsia="宋体" w:cs="Times New Roman"/>
                <w:b w:val="0"/>
                <w:bCs w:val="0"/>
                <w:kern w:val="2"/>
                <w:sz w:val="21"/>
                <w:szCs w:val="21"/>
                <w:lang w:val="en-US" w:eastAsia="zh-CN" w:bidi="ar-SA"/>
              </w:rPr>
            </w:pPr>
            <w:r>
              <w:rPr>
                <w:rFonts w:ascii="Times New Roman" w:hAnsi="Times New Roman" w:eastAsia="宋体" w:cs="Times New Roman"/>
                <w:b w:val="0"/>
                <w:bCs w:val="0"/>
                <w:szCs w:val="21"/>
              </w:rPr>
              <w:t>（4）</w:t>
            </w:r>
          </w:p>
        </w:tc>
        <w:tc>
          <w:tcPr>
            <w:tcW w:w="1256" w:type="pct"/>
            <w:shd w:val="clear" w:color="auto" w:fill="auto"/>
            <w:vAlign w:val="center"/>
          </w:tcPr>
          <w:p w14:paraId="1A90C653">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b w:val="0"/>
                <w:bCs w:val="0"/>
                <w:kern w:val="2"/>
                <w:sz w:val="21"/>
                <w:szCs w:val="21"/>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湖北诺维尔</w:t>
            </w:r>
          </w:p>
        </w:tc>
        <w:tc>
          <w:tcPr>
            <w:tcW w:w="1064" w:type="pct"/>
            <w:vAlign w:val="center"/>
          </w:tcPr>
          <w:p w14:paraId="5955D24D">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000000"/>
                <w:kern w:val="0"/>
                <w:sz w:val="24"/>
                <w:szCs w:val="24"/>
                <w:u w:val="none"/>
                <w:lang w:val="en-US" w:eastAsia="zh-CN" w:bidi="ar"/>
              </w:rPr>
              <w:t>27-10-13</w:t>
            </w:r>
          </w:p>
        </w:tc>
        <w:tc>
          <w:tcPr>
            <w:tcW w:w="842" w:type="pct"/>
            <w:shd w:val="clear" w:color="auto" w:fill="auto"/>
            <w:vAlign w:val="center"/>
          </w:tcPr>
          <w:p w14:paraId="697AFC7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i w:val="0"/>
                <w:iCs w:val="0"/>
                <w:color w:val="000000"/>
                <w:kern w:val="0"/>
                <w:sz w:val="24"/>
                <w:szCs w:val="24"/>
                <w:u w:val="none"/>
                <w:lang w:val="en-US" w:eastAsia="zh-CN" w:bidi="ar"/>
              </w:rPr>
            </w:pPr>
            <w:r>
              <w:rPr>
                <w:rFonts w:hint="eastAsia" w:ascii="等线" w:hAnsi="等线" w:eastAsia="等线" w:cs="等线"/>
                <w:b w:val="0"/>
                <w:bCs w:val="0"/>
                <w:i w:val="0"/>
                <w:iCs w:val="0"/>
                <w:color w:val="000000"/>
                <w:kern w:val="0"/>
                <w:sz w:val="22"/>
                <w:szCs w:val="22"/>
                <w:u w:val="none"/>
                <w:lang w:val="en-US" w:eastAsia="zh-CN" w:bidi="ar"/>
              </w:rPr>
              <w:t xml:space="preserve">-3.62 </w:t>
            </w:r>
          </w:p>
        </w:tc>
        <w:tc>
          <w:tcPr>
            <w:tcW w:w="1153" w:type="pct"/>
            <w:shd w:val="clear" w:color="auto" w:fill="auto"/>
            <w:vAlign w:val="center"/>
          </w:tcPr>
          <w:p w14:paraId="38069671">
            <w:pPr>
              <w:keepNext w:val="0"/>
              <w:keepLines w:val="0"/>
              <w:pageBreakBefore w:val="0"/>
              <w:widowControl/>
              <w:suppressLineNumbers w:val="0"/>
              <w:wordWrap/>
              <w:overflowPunct/>
              <w:topLinePunct w:val="0"/>
              <w:bidi w:val="0"/>
              <w:spacing w:line="360" w:lineRule="auto"/>
              <w:jc w:val="right"/>
              <w:textAlignment w:val="center"/>
              <w:rPr>
                <w:rFonts w:hint="default" w:ascii="等线" w:hAnsi="等线" w:eastAsia="等线" w:cs="等线"/>
                <w:b w:val="0"/>
                <w:bCs w:val="0"/>
                <w:i w:val="0"/>
                <w:iCs w:val="0"/>
                <w:color w:val="auto"/>
                <w:kern w:val="0"/>
                <w:sz w:val="22"/>
                <w:szCs w:val="22"/>
                <w:u w:val="none"/>
                <w:lang w:val="en-US" w:eastAsia="zh-CN" w:bidi="ar"/>
              </w:rPr>
            </w:pPr>
            <w:r>
              <w:rPr>
                <w:rFonts w:hint="eastAsia" w:ascii="等线" w:hAnsi="等线" w:eastAsia="等线" w:cs="等线"/>
                <w:b w:val="0"/>
                <w:bCs w:val="0"/>
                <w:i w:val="0"/>
                <w:iCs w:val="0"/>
                <w:color w:val="auto"/>
                <w:kern w:val="0"/>
                <w:sz w:val="22"/>
                <w:szCs w:val="22"/>
                <w:u w:val="none"/>
                <w:lang w:val="en-US" w:eastAsia="zh-CN" w:bidi="ar"/>
              </w:rPr>
              <w:t xml:space="preserve">-9.89 </w:t>
            </w:r>
          </w:p>
        </w:tc>
      </w:tr>
      <w:tr w14:paraId="4A116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shd w:val="clear" w:color="auto" w:fill="auto"/>
            <w:vAlign w:val="top"/>
          </w:tcPr>
          <w:p w14:paraId="55648670">
            <w:pPr>
              <w:keepLines w:val="0"/>
              <w:pageBreakBefore w:val="0"/>
              <w:wordWrap/>
              <w:overflowPunct/>
              <w:topLinePunct w:val="0"/>
              <w:bidi w:val="0"/>
              <w:spacing w:line="360" w:lineRule="auto"/>
              <w:rPr>
                <w:rFonts w:ascii="Times New Roman" w:hAnsi="Times New Roman" w:eastAsia="宋体" w:cs="Times New Roman"/>
                <w:b w:val="0"/>
                <w:bCs w:val="0"/>
                <w:kern w:val="2"/>
                <w:sz w:val="21"/>
                <w:szCs w:val="21"/>
                <w:lang w:val="en-US" w:eastAsia="zh-CN" w:bidi="ar-SA"/>
              </w:rPr>
            </w:pPr>
            <w:r>
              <w:rPr>
                <w:rFonts w:ascii="Times New Roman" w:hAnsi="Times New Roman" w:eastAsia="宋体" w:cs="Times New Roman"/>
                <w:b w:val="0"/>
                <w:bCs w:val="0"/>
                <w:szCs w:val="21"/>
              </w:rPr>
              <w:t>（5）</w:t>
            </w:r>
          </w:p>
        </w:tc>
        <w:tc>
          <w:tcPr>
            <w:tcW w:w="1256" w:type="pct"/>
            <w:vAlign w:val="center"/>
          </w:tcPr>
          <w:p w14:paraId="4F91B1AF">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b w:val="0"/>
                <w:bCs w:val="0"/>
                <w:szCs w:val="21"/>
              </w:rPr>
            </w:pPr>
            <w:r>
              <w:rPr>
                <w:rFonts w:hint="eastAsia" w:ascii="宋体" w:hAnsi="宋体" w:eastAsia="宋体" w:cs="宋体"/>
                <w:b w:val="0"/>
                <w:bCs w:val="0"/>
                <w:i w:val="0"/>
                <w:iCs w:val="0"/>
                <w:color w:val="000000"/>
                <w:kern w:val="0"/>
                <w:sz w:val="24"/>
                <w:szCs w:val="24"/>
                <w:u w:val="none"/>
                <w:lang w:val="en-US" w:eastAsia="zh-CN" w:bidi="ar"/>
              </w:rPr>
              <w:t>湖北诺维尔</w:t>
            </w:r>
          </w:p>
        </w:tc>
        <w:tc>
          <w:tcPr>
            <w:tcW w:w="1064" w:type="pct"/>
            <w:vAlign w:val="center"/>
          </w:tcPr>
          <w:p w14:paraId="12158469">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000000"/>
                <w:kern w:val="0"/>
                <w:sz w:val="24"/>
                <w:szCs w:val="24"/>
                <w:u w:val="none"/>
                <w:lang w:val="en-US" w:eastAsia="zh-CN" w:bidi="ar"/>
              </w:rPr>
              <w:t>29-5-6</w:t>
            </w:r>
          </w:p>
        </w:tc>
        <w:tc>
          <w:tcPr>
            <w:tcW w:w="842" w:type="pct"/>
            <w:shd w:val="clear" w:color="auto" w:fill="auto"/>
            <w:vAlign w:val="center"/>
          </w:tcPr>
          <w:p w14:paraId="02A69B1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i w:val="0"/>
                <w:iCs w:val="0"/>
                <w:color w:val="000000"/>
                <w:kern w:val="0"/>
                <w:sz w:val="24"/>
                <w:szCs w:val="24"/>
                <w:u w:val="none"/>
                <w:lang w:val="en-US" w:eastAsia="zh-CN" w:bidi="ar"/>
              </w:rPr>
            </w:pPr>
            <w:r>
              <w:rPr>
                <w:rFonts w:hint="eastAsia" w:ascii="等线" w:hAnsi="等线" w:eastAsia="等线" w:cs="等线"/>
                <w:b w:val="0"/>
                <w:bCs w:val="0"/>
                <w:i w:val="0"/>
                <w:iCs w:val="0"/>
                <w:color w:val="000000"/>
                <w:kern w:val="0"/>
                <w:sz w:val="22"/>
                <w:szCs w:val="22"/>
                <w:u w:val="none"/>
                <w:lang w:val="en-US" w:eastAsia="zh-CN" w:bidi="ar"/>
              </w:rPr>
              <w:t xml:space="preserve">2.17 </w:t>
            </w:r>
          </w:p>
        </w:tc>
        <w:tc>
          <w:tcPr>
            <w:tcW w:w="1153" w:type="pct"/>
            <w:shd w:val="clear" w:color="auto" w:fill="auto"/>
            <w:vAlign w:val="center"/>
          </w:tcPr>
          <w:p w14:paraId="25A90EB3">
            <w:pPr>
              <w:keepNext w:val="0"/>
              <w:keepLines w:val="0"/>
              <w:pageBreakBefore w:val="0"/>
              <w:widowControl/>
              <w:suppressLineNumbers w:val="0"/>
              <w:wordWrap/>
              <w:overflowPunct/>
              <w:topLinePunct w:val="0"/>
              <w:bidi w:val="0"/>
              <w:spacing w:line="360" w:lineRule="auto"/>
              <w:jc w:val="right"/>
              <w:textAlignment w:val="center"/>
              <w:rPr>
                <w:rFonts w:hint="default" w:ascii="等线" w:hAnsi="等线" w:eastAsia="等线" w:cs="等线"/>
                <w:b w:val="0"/>
                <w:bCs w:val="0"/>
                <w:i w:val="0"/>
                <w:iCs w:val="0"/>
                <w:color w:val="auto"/>
                <w:kern w:val="0"/>
                <w:sz w:val="22"/>
                <w:szCs w:val="22"/>
                <w:u w:val="none"/>
                <w:lang w:val="en-US" w:eastAsia="zh-CN" w:bidi="ar"/>
              </w:rPr>
            </w:pPr>
            <w:r>
              <w:rPr>
                <w:rFonts w:hint="eastAsia" w:ascii="等线" w:hAnsi="等线" w:eastAsia="等线" w:cs="等线"/>
                <w:b w:val="0"/>
                <w:bCs w:val="0"/>
                <w:i w:val="0"/>
                <w:iCs w:val="0"/>
                <w:color w:val="auto"/>
                <w:kern w:val="0"/>
                <w:sz w:val="22"/>
                <w:szCs w:val="22"/>
                <w:u w:val="none"/>
                <w:lang w:val="en-US" w:eastAsia="zh-CN" w:bidi="ar"/>
              </w:rPr>
              <w:t xml:space="preserve">0.15 </w:t>
            </w:r>
          </w:p>
        </w:tc>
      </w:tr>
      <w:tr w14:paraId="13DC4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shd w:val="clear" w:color="auto" w:fill="auto"/>
            <w:vAlign w:val="top"/>
          </w:tcPr>
          <w:p w14:paraId="544E658F">
            <w:pPr>
              <w:keepLines w:val="0"/>
              <w:pageBreakBefore w:val="0"/>
              <w:wordWrap/>
              <w:overflowPunct/>
              <w:topLinePunct w:val="0"/>
              <w:bidi w:val="0"/>
              <w:spacing w:line="360" w:lineRule="auto"/>
              <w:rPr>
                <w:rFonts w:ascii="Times New Roman" w:hAnsi="Times New Roman" w:eastAsia="宋体" w:cs="Times New Roman"/>
                <w:b w:val="0"/>
                <w:bCs w:val="0"/>
                <w:kern w:val="2"/>
                <w:sz w:val="21"/>
                <w:szCs w:val="21"/>
                <w:lang w:val="en-US" w:eastAsia="zh-CN" w:bidi="ar-SA"/>
              </w:rPr>
            </w:pPr>
            <w:r>
              <w:rPr>
                <w:rFonts w:ascii="Times New Roman" w:hAnsi="Times New Roman" w:eastAsia="宋体" w:cs="Times New Roman"/>
                <w:b w:val="0"/>
                <w:bCs w:val="0"/>
                <w:szCs w:val="21"/>
              </w:rPr>
              <w:t>（6）</w:t>
            </w:r>
          </w:p>
        </w:tc>
        <w:tc>
          <w:tcPr>
            <w:tcW w:w="1256" w:type="pct"/>
            <w:vAlign w:val="center"/>
          </w:tcPr>
          <w:p w14:paraId="78447750">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b w:val="0"/>
                <w:bCs w:val="0"/>
                <w:szCs w:val="21"/>
              </w:rPr>
            </w:pPr>
            <w:r>
              <w:rPr>
                <w:rFonts w:hint="eastAsia" w:ascii="宋体" w:hAnsi="宋体" w:eastAsia="宋体" w:cs="宋体"/>
                <w:b w:val="0"/>
                <w:bCs w:val="0"/>
                <w:i w:val="0"/>
                <w:iCs w:val="0"/>
                <w:color w:val="000000"/>
                <w:kern w:val="0"/>
                <w:sz w:val="24"/>
                <w:szCs w:val="24"/>
                <w:u w:val="none"/>
                <w:lang w:val="en-US" w:eastAsia="zh-CN" w:bidi="ar"/>
              </w:rPr>
              <w:t>南宁九禾</w:t>
            </w:r>
          </w:p>
        </w:tc>
        <w:tc>
          <w:tcPr>
            <w:tcW w:w="1064" w:type="pct"/>
            <w:vAlign w:val="center"/>
          </w:tcPr>
          <w:p w14:paraId="712ABBF2">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000000"/>
                <w:kern w:val="0"/>
                <w:sz w:val="24"/>
                <w:szCs w:val="24"/>
                <w:u w:val="none"/>
                <w:lang w:val="en-US" w:eastAsia="zh-CN" w:bidi="ar"/>
              </w:rPr>
              <w:t>20-5-15</w:t>
            </w:r>
          </w:p>
        </w:tc>
        <w:tc>
          <w:tcPr>
            <w:tcW w:w="842" w:type="pct"/>
            <w:shd w:val="clear" w:color="auto" w:fill="auto"/>
            <w:vAlign w:val="center"/>
          </w:tcPr>
          <w:p w14:paraId="434B7F0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i w:val="0"/>
                <w:iCs w:val="0"/>
                <w:color w:val="000000"/>
                <w:kern w:val="0"/>
                <w:sz w:val="24"/>
                <w:szCs w:val="24"/>
                <w:u w:val="none"/>
                <w:lang w:val="en-US" w:eastAsia="zh-CN" w:bidi="ar"/>
              </w:rPr>
            </w:pPr>
            <w:r>
              <w:rPr>
                <w:rFonts w:hint="eastAsia" w:ascii="等线" w:hAnsi="等线" w:eastAsia="等线" w:cs="等线"/>
                <w:b w:val="0"/>
                <w:bCs w:val="0"/>
                <w:i w:val="0"/>
                <w:iCs w:val="0"/>
                <w:color w:val="000000"/>
                <w:kern w:val="0"/>
                <w:sz w:val="22"/>
                <w:szCs w:val="22"/>
                <w:u w:val="none"/>
                <w:lang w:val="en-US" w:eastAsia="zh-CN" w:bidi="ar"/>
              </w:rPr>
              <w:t xml:space="preserve">25.00 </w:t>
            </w:r>
          </w:p>
        </w:tc>
        <w:tc>
          <w:tcPr>
            <w:tcW w:w="1153" w:type="pct"/>
            <w:shd w:val="clear" w:color="auto" w:fill="auto"/>
            <w:vAlign w:val="center"/>
          </w:tcPr>
          <w:p w14:paraId="6FAE6E63">
            <w:pPr>
              <w:keepNext w:val="0"/>
              <w:keepLines w:val="0"/>
              <w:pageBreakBefore w:val="0"/>
              <w:widowControl/>
              <w:suppressLineNumbers w:val="0"/>
              <w:wordWrap/>
              <w:overflowPunct/>
              <w:topLinePunct w:val="0"/>
              <w:bidi w:val="0"/>
              <w:spacing w:line="360" w:lineRule="auto"/>
              <w:jc w:val="right"/>
              <w:textAlignment w:val="center"/>
              <w:rPr>
                <w:rFonts w:hint="default" w:ascii="等线" w:hAnsi="等线" w:eastAsia="等线" w:cs="等线"/>
                <w:b w:val="0"/>
                <w:bCs w:val="0"/>
                <w:i w:val="0"/>
                <w:iCs w:val="0"/>
                <w:color w:val="auto"/>
                <w:kern w:val="0"/>
                <w:sz w:val="22"/>
                <w:szCs w:val="22"/>
                <w:u w:val="none"/>
                <w:lang w:val="en-US" w:eastAsia="zh-CN" w:bidi="ar"/>
              </w:rPr>
            </w:pPr>
            <w:r>
              <w:rPr>
                <w:rFonts w:hint="eastAsia" w:ascii="等线" w:hAnsi="等线" w:eastAsia="等线" w:cs="等线"/>
                <w:b w:val="0"/>
                <w:bCs w:val="0"/>
                <w:i w:val="0"/>
                <w:iCs w:val="0"/>
                <w:color w:val="auto"/>
                <w:kern w:val="0"/>
                <w:sz w:val="22"/>
                <w:szCs w:val="22"/>
                <w:u w:val="none"/>
                <w:lang w:val="en-US" w:eastAsia="zh-CN" w:bidi="ar"/>
              </w:rPr>
              <w:t xml:space="preserve">-2.48 </w:t>
            </w:r>
          </w:p>
        </w:tc>
      </w:tr>
      <w:tr w14:paraId="75023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shd w:val="clear" w:color="auto" w:fill="auto"/>
            <w:vAlign w:val="top"/>
          </w:tcPr>
          <w:p w14:paraId="3C5C8324">
            <w:pPr>
              <w:keepLines w:val="0"/>
              <w:pageBreakBefore w:val="0"/>
              <w:wordWrap/>
              <w:overflowPunct/>
              <w:topLinePunct w:val="0"/>
              <w:bidi w:val="0"/>
              <w:spacing w:line="360" w:lineRule="auto"/>
              <w:rPr>
                <w:rFonts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szCs w:val="21"/>
              </w:rPr>
              <w:t>（7）</w:t>
            </w:r>
          </w:p>
        </w:tc>
        <w:tc>
          <w:tcPr>
            <w:tcW w:w="1256" w:type="pct"/>
            <w:vAlign w:val="center"/>
          </w:tcPr>
          <w:p w14:paraId="177DA06D">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b w:val="0"/>
                <w:bCs w:val="0"/>
                <w:szCs w:val="21"/>
              </w:rPr>
            </w:pPr>
            <w:r>
              <w:rPr>
                <w:rFonts w:hint="eastAsia" w:ascii="宋体" w:hAnsi="宋体" w:eastAsia="宋体" w:cs="宋体"/>
                <w:b w:val="0"/>
                <w:bCs w:val="0"/>
                <w:i w:val="0"/>
                <w:iCs w:val="0"/>
                <w:color w:val="000000"/>
                <w:kern w:val="0"/>
                <w:sz w:val="24"/>
                <w:szCs w:val="24"/>
                <w:u w:val="none"/>
                <w:lang w:val="en-US" w:eastAsia="zh-CN" w:bidi="ar"/>
              </w:rPr>
              <w:t>黑龙江爱农</w:t>
            </w:r>
          </w:p>
        </w:tc>
        <w:tc>
          <w:tcPr>
            <w:tcW w:w="1064" w:type="pct"/>
            <w:vAlign w:val="center"/>
          </w:tcPr>
          <w:p w14:paraId="18177EDA">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000000"/>
                <w:kern w:val="0"/>
                <w:sz w:val="24"/>
                <w:szCs w:val="24"/>
                <w:u w:val="none"/>
                <w:lang w:val="en-US" w:eastAsia="zh-CN" w:bidi="ar"/>
              </w:rPr>
              <w:t>24-10-12</w:t>
            </w:r>
          </w:p>
        </w:tc>
        <w:tc>
          <w:tcPr>
            <w:tcW w:w="842" w:type="pct"/>
            <w:shd w:val="clear" w:color="auto" w:fill="auto"/>
            <w:vAlign w:val="center"/>
          </w:tcPr>
          <w:p w14:paraId="174FEC8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i w:val="0"/>
                <w:iCs w:val="0"/>
                <w:color w:val="000000"/>
                <w:kern w:val="0"/>
                <w:sz w:val="24"/>
                <w:szCs w:val="24"/>
                <w:u w:val="none"/>
                <w:lang w:val="en-US" w:eastAsia="zh-CN" w:bidi="ar"/>
              </w:rPr>
            </w:pPr>
            <w:r>
              <w:rPr>
                <w:rFonts w:hint="eastAsia" w:ascii="等线" w:hAnsi="等线" w:eastAsia="等线" w:cs="等线"/>
                <w:b w:val="0"/>
                <w:bCs w:val="0"/>
                <w:i w:val="0"/>
                <w:iCs w:val="0"/>
                <w:color w:val="000000"/>
                <w:kern w:val="0"/>
                <w:sz w:val="22"/>
                <w:szCs w:val="22"/>
                <w:u w:val="none"/>
                <w:lang w:val="en-US" w:eastAsia="zh-CN" w:bidi="ar"/>
              </w:rPr>
              <w:t xml:space="preserve">-8.73 </w:t>
            </w:r>
          </w:p>
        </w:tc>
        <w:tc>
          <w:tcPr>
            <w:tcW w:w="1153" w:type="pct"/>
            <w:shd w:val="clear" w:color="auto" w:fill="auto"/>
            <w:vAlign w:val="center"/>
          </w:tcPr>
          <w:p w14:paraId="7F557803">
            <w:pPr>
              <w:keepNext w:val="0"/>
              <w:keepLines w:val="0"/>
              <w:pageBreakBefore w:val="0"/>
              <w:widowControl/>
              <w:suppressLineNumbers w:val="0"/>
              <w:wordWrap/>
              <w:overflowPunct/>
              <w:topLinePunct w:val="0"/>
              <w:bidi w:val="0"/>
              <w:spacing w:line="360" w:lineRule="auto"/>
              <w:jc w:val="right"/>
              <w:textAlignment w:val="center"/>
              <w:rPr>
                <w:rFonts w:hint="default" w:ascii="等线" w:hAnsi="等线" w:eastAsia="等线" w:cs="等线"/>
                <w:b w:val="0"/>
                <w:bCs w:val="0"/>
                <w:i w:val="0"/>
                <w:iCs w:val="0"/>
                <w:color w:val="auto"/>
                <w:kern w:val="0"/>
                <w:sz w:val="22"/>
                <w:szCs w:val="22"/>
                <w:u w:val="none"/>
                <w:lang w:val="en-US" w:eastAsia="zh-CN" w:bidi="ar"/>
              </w:rPr>
            </w:pPr>
            <w:r>
              <w:rPr>
                <w:rFonts w:hint="eastAsia" w:ascii="等线" w:hAnsi="等线" w:eastAsia="等线" w:cs="等线"/>
                <w:b w:val="0"/>
                <w:bCs w:val="0"/>
                <w:i w:val="0"/>
                <w:iCs w:val="0"/>
                <w:color w:val="auto"/>
                <w:kern w:val="0"/>
                <w:sz w:val="22"/>
                <w:szCs w:val="22"/>
                <w:u w:val="none"/>
                <w:lang w:val="en-US" w:eastAsia="zh-CN" w:bidi="ar"/>
              </w:rPr>
              <w:t xml:space="preserve">-16.24 </w:t>
            </w:r>
          </w:p>
        </w:tc>
      </w:tr>
      <w:tr w14:paraId="61979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shd w:val="clear" w:color="auto" w:fill="auto"/>
            <w:vAlign w:val="top"/>
          </w:tcPr>
          <w:p w14:paraId="7E6577A5">
            <w:pPr>
              <w:keepLines w:val="0"/>
              <w:pageBreakBefore w:val="0"/>
              <w:wordWrap/>
              <w:overflowPunct/>
              <w:topLinePunct w:val="0"/>
              <w:bidi w:val="0"/>
              <w:spacing w:line="360" w:lineRule="auto"/>
              <w:rPr>
                <w:rFonts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szCs w:val="21"/>
              </w:rPr>
              <w:t>（8）</w:t>
            </w:r>
          </w:p>
        </w:tc>
        <w:tc>
          <w:tcPr>
            <w:tcW w:w="1256" w:type="pct"/>
            <w:vAlign w:val="center"/>
          </w:tcPr>
          <w:p w14:paraId="0D454284">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b w:val="0"/>
                <w:bCs w:val="0"/>
                <w:szCs w:val="21"/>
              </w:rPr>
            </w:pPr>
            <w:r>
              <w:rPr>
                <w:rFonts w:hint="eastAsia" w:ascii="宋体" w:hAnsi="宋体" w:eastAsia="宋体" w:cs="宋体"/>
                <w:b w:val="0"/>
                <w:bCs w:val="0"/>
                <w:i w:val="0"/>
                <w:iCs w:val="0"/>
                <w:color w:val="000000"/>
                <w:kern w:val="0"/>
                <w:sz w:val="24"/>
                <w:szCs w:val="24"/>
                <w:u w:val="none"/>
                <w:lang w:val="en-US" w:eastAsia="zh-CN" w:bidi="ar"/>
              </w:rPr>
              <w:t>辽宁凯丰</w:t>
            </w:r>
          </w:p>
        </w:tc>
        <w:tc>
          <w:tcPr>
            <w:tcW w:w="1064" w:type="pct"/>
            <w:vAlign w:val="center"/>
          </w:tcPr>
          <w:p w14:paraId="61640049">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000000"/>
                <w:kern w:val="0"/>
                <w:sz w:val="24"/>
                <w:szCs w:val="24"/>
                <w:u w:val="none"/>
                <w:lang w:val="en-US" w:eastAsia="zh-CN" w:bidi="ar"/>
              </w:rPr>
              <w:t>26-10-12</w:t>
            </w:r>
          </w:p>
        </w:tc>
        <w:tc>
          <w:tcPr>
            <w:tcW w:w="842" w:type="pct"/>
            <w:shd w:val="clear" w:color="auto" w:fill="auto"/>
            <w:vAlign w:val="center"/>
          </w:tcPr>
          <w:p w14:paraId="13A9EAF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i w:val="0"/>
                <w:iCs w:val="0"/>
                <w:color w:val="000000"/>
                <w:kern w:val="0"/>
                <w:sz w:val="24"/>
                <w:szCs w:val="24"/>
                <w:u w:val="none"/>
                <w:lang w:val="en-US" w:eastAsia="zh-CN" w:bidi="ar"/>
              </w:rPr>
            </w:pPr>
            <w:r>
              <w:rPr>
                <w:rFonts w:hint="eastAsia" w:ascii="等线" w:hAnsi="等线" w:eastAsia="等线" w:cs="等线"/>
                <w:b w:val="0"/>
                <w:bCs w:val="0"/>
                <w:i w:val="0"/>
                <w:iCs w:val="0"/>
                <w:color w:val="000000"/>
                <w:kern w:val="0"/>
                <w:sz w:val="22"/>
                <w:szCs w:val="22"/>
                <w:u w:val="none"/>
                <w:lang w:val="en-US" w:eastAsia="zh-CN" w:bidi="ar"/>
              </w:rPr>
              <w:t xml:space="preserve">3.65 </w:t>
            </w:r>
          </w:p>
        </w:tc>
        <w:tc>
          <w:tcPr>
            <w:tcW w:w="1153" w:type="pct"/>
            <w:vAlign w:val="center"/>
          </w:tcPr>
          <w:p w14:paraId="55C524A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i w:val="0"/>
                <w:iCs w:val="0"/>
                <w:color w:val="auto"/>
                <w:kern w:val="0"/>
                <w:sz w:val="24"/>
                <w:szCs w:val="24"/>
                <w:u w:val="none"/>
                <w:lang w:val="en-US" w:eastAsia="zh-CN" w:bidi="ar"/>
              </w:rPr>
            </w:pPr>
            <w:r>
              <w:rPr>
                <w:rFonts w:hint="eastAsia" w:ascii="Times New Roman" w:hAnsi="Times New Roman" w:eastAsia="宋体" w:cs="Times New Roman"/>
                <w:b w:val="0"/>
                <w:bCs w:val="0"/>
                <w:i w:val="0"/>
                <w:iCs w:val="0"/>
                <w:color w:val="auto"/>
                <w:kern w:val="0"/>
                <w:sz w:val="24"/>
                <w:szCs w:val="24"/>
                <w:u w:val="none"/>
                <w:lang w:val="en-US" w:eastAsia="zh-CN" w:bidi="ar"/>
              </w:rPr>
              <w:t>-1.67</w:t>
            </w:r>
          </w:p>
        </w:tc>
      </w:tr>
      <w:tr w14:paraId="3FBDD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tcPr>
          <w:p w14:paraId="64D49A68">
            <w:pPr>
              <w:keepLines w:val="0"/>
              <w:pageBreakBefore w:val="0"/>
              <w:wordWrap/>
              <w:overflowPunct/>
              <w:topLinePunct w:val="0"/>
              <w:bidi w:val="0"/>
              <w:spacing w:line="360" w:lineRule="auto"/>
              <w:rPr>
                <w:rFonts w:ascii="Times New Roman" w:hAnsi="Times New Roman" w:eastAsia="宋体" w:cs="Times New Roman"/>
                <w:b w:val="0"/>
                <w:bCs w:val="0"/>
                <w:szCs w:val="21"/>
              </w:rPr>
            </w:pPr>
            <w:r>
              <w:rPr>
                <w:rFonts w:ascii="Times New Roman" w:hAnsi="Times New Roman" w:eastAsia="宋体" w:cs="Times New Roman"/>
                <w:b w:val="0"/>
                <w:bCs w:val="0"/>
                <w:szCs w:val="21"/>
              </w:rPr>
              <w:t>（</w:t>
            </w:r>
            <w:r>
              <w:rPr>
                <w:rFonts w:hint="eastAsia" w:ascii="Times New Roman" w:hAnsi="Times New Roman" w:eastAsia="宋体" w:cs="Times New Roman"/>
                <w:b w:val="0"/>
                <w:bCs w:val="0"/>
                <w:szCs w:val="21"/>
                <w:lang w:val="en-US" w:eastAsia="zh-CN"/>
              </w:rPr>
              <w:t>9</w:t>
            </w:r>
            <w:r>
              <w:rPr>
                <w:rFonts w:ascii="Times New Roman" w:hAnsi="Times New Roman" w:eastAsia="宋体" w:cs="Times New Roman"/>
                <w:b w:val="0"/>
                <w:bCs w:val="0"/>
                <w:szCs w:val="21"/>
              </w:rPr>
              <w:t>）</w:t>
            </w:r>
          </w:p>
        </w:tc>
        <w:tc>
          <w:tcPr>
            <w:tcW w:w="1256" w:type="pct"/>
            <w:vAlign w:val="center"/>
          </w:tcPr>
          <w:p w14:paraId="271B648A">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b w:val="0"/>
                <w:bCs w:val="0"/>
                <w:szCs w:val="21"/>
              </w:rPr>
            </w:pPr>
            <w:r>
              <w:rPr>
                <w:rFonts w:hint="eastAsia" w:ascii="宋体" w:hAnsi="宋体" w:eastAsia="宋体" w:cs="宋体"/>
                <w:b w:val="0"/>
                <w:bCs w:val="0"/>
                <w:i w:val="0"/>
                <w:iCs w:val="0"/>
                <w:color w:val="000000"/>
                <w:kern w:val="0"/>
                <w:sz w:val="24"/>
                <w:szCs w:val="24"/>
                <w:u w:val="none"/>
                <w:lang w:val="en-US" w:eastAsia="zh-CN" w:bidi="ar"/>
              </w:rPr>
              <w:t>宁夏泸天化</w:t>
            </w:r>
          </w:p>
        </w:tc>
        <w:tc>
          <w:tcPr>
            <w:tcW w:w="1064" w:type="pct"/>
            <w:vAlign w:val="center"/>
          </w:tcPr>
          <w:p w14:paraId="22BEB3AE">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000000"/>
                <w:kern w:val="0"/>
                <w:sz w:val="24"/>
                <w:szCs w:val="24"/>
                <w:u w:val="none"/>
                <w:lang w:val="en-US" w:eastAsia="zh-CN" w:bidi="ar"/>
              </w:rPr>
              <w:t>22-19-16</w:t>
            </w:r>
          </w:p>
        </w:tc>
        <w:tc>
          <w:tcPr>
            <w:tcW w:w="842" w:type="pct"/>
            <w:shd w:val="clear" w:color="auto" w:fill="auto"/>
            <w:vAlign w:val="center"/>
          </w:tcPr>
          <w:p w14:paraId="62681D9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i w:val="0"/>
                <w:iCs w:val="0"/>
                <w:color w:val="000000"/>
                <w:kern w:val="0"/>
                <w:sz w:val="24"/>
                <w:szCs w:val="24"/>
                <w:u w:val="none"/>
                <w:lang w:val="en-US" w:eastAsia="zh-CN" w:bidi="ar"/>
              </w:rPr>
            </w:pPr>
            <w:r>
              <w:rPr>
                <w:rFonts w:hint="eastAsia" w:ascii="等线" w:hAnsi="等线" w:eastAsia="等线" w:cs="等线"/>
                <w:b w:val="0"/>
                <w:bCs w:val="0"/>
                <w:i w:val="0"/>
                <w:iCs w:val="0"/>
                <w:color w:val="000000"/>
                <w:kern w:val="0"/>
                <w:sz w:val="22"/>
                <w:szCs w:val="22"/>
                <w:u w:val="none"/>
                <w:lang w:val="en-US" w:eastAsia="zh-CN" w:bidi="ar"/>
              </w:rPr>
              <w:t xml:space="preserve">5.33 </w:t>
            </w:r>
          </w:p>
        </w:tc>
        <w:tc>
          <w:tcPr>
            <w:tcW w:w="1153" w:type="pct"/>
            <w:vAlign w:val="center"/>
          </w:tcPr>
          <w:p w14:paraId="7201470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i w:val="0"/>
                <w:iCs w:val="0"/>
                <w:color w:val="auto"/>
                <w:kern w:val="0"/>
                <w:sz w:val="24"/>
                <w:szCs w:val="24"/>
                <w:u w:val="none"/>
                <w:lang w:val="en-US" w:eastAsia="zh-CN" w:bidi="ar"/>
              </w:rPr>
            </w:pPr>
            <w:r>
              <w:rPr>
                <w:rFonts w:hint="eastAsia" w:ascii="Times New Roman" w:hAnsi="Times New Roman" w:eastAsia="宋体" w:cs="Times New Roman"/>
                <w:b w:val="0"/>
                <w:bCs w:val="0"/>
                <w:i w:val="0"/>
                <w:iCs w:val="0"/>
                <w:color w:val="auto"/>
                <w:kern w:val="0"/>
                <w:sz w:val="24"/>
                <w:szCs w:val="24"/>
                <w:u w:val="none"/>
                <w:lang w:val="en-US" w:eastAsia="zh-CN" w:bidi="ar"/>
              </w:rPr>
              <w:t>-5.96</w:t>
            </w:r>
          </w:p>
        </w:tc>
      </w:tr>
      <w:tr w14:paraId="5E39F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tcPr>
          <w:p w14:paraId="38043870">
            <w:pPr>
              <w:keepLines w:val="0"/>
              <w:pageBreakBefore w:val="0"/>
              <w:wordWrap/>
              <w:overflowPunct/>
              <w:topLinePunct w:val="0"/>
              <w:bidi w:val="0"/>
              <w:spacing w:line="360" w:lineRule="auto"/>
              <w:rPr>
                <w:rFonts w:ascii="Times New Roman" w:hAnsi="Times New Roman" w:eastAsia="宋体" w:cs="Times New Roman"/>
                <w:b w:val="0"/>
                <w:bCs w:val="0"/>
                <w:szCs w:val="21"/>
              </w:rPr>
            </w:pPr>
            <w:r>
              <w:rPr>
                <w:rFonts w:ascii="Times New Roman" w:hAnsi="Times New Roman" w:eastAsia="宋体" w:cs="Times New Roman"/>
                <w:b w:val="0"/>
                <w:bCs w:val="0"/>
                <w:szCs w:val="21"/>
              </w:rPr>
              <w:t>（</w:t>
            </w:r>
            <w:r>
              <w:rPr>
                <w:rFonts w:hint="eastAsia" w:ascii="Times New Roman" w:hAnsi="Times New Roman" w:eastAsia="宋体" w:cs="Times New Roman"/>
                <w:b w:val="0"/>
                <w:bCs w:val="0"/>
                <w:szCs w:val="21"/>
                <w:lang w:val="en-US" w:eastAsia="zh-CN"/>
              </w:rPr>
              <w:t>10</w:t>
            </w:r>
            <w:r>
              <w:rPr>
                <w:rFonts w:ascii="Times New Roman" w:hAnsi="Times New Roman" w:eastAsia="宋体" w:cs="Times New Roman"/>
                <w:b w:val="0"/>
                <w:bCs w:val="0"/>
                <w:szCs w:val="21"/>
              </w:rPr>
              <w:t>）</w:t>
            </w:r>
          </w:p>
        </w:tc>
        <w:tc>
          <w:tcPr>
            <w:tcW w:w="1256" w:type="pct"/>
            <w:vAlign w:val="center"/>
          </w:tcPr>
          <w:p w14:paraId="5A9C8608">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b w:val="0"/>
                <w:bCs w:val="0"/>
                <w:szCs w:val="21"/>
              </w:rPr>
            </w:pPr>
            <w:r>
              <w:rPr>
                <w:rFonts w:hint="eastAsia" w:ascii="宋体" w:hAnsi="宋体" w:eastAsia="宋体" w:cs="宋体"/>
                <w:b w:val="0"/>
                <w:bCs w:val="0"/>
                <w:i w:val="0"/>
                <w:iCs w:val="0"/>
                <w:color w:val="000000"/>
                <w:kern w:val="0"/>
                <w:sz w:val="24"/>
                <w:szCs w:val="24"/>
                <w:u w:val="none"/>
                <w:lang w:val="en-US" w:eastAsia="zh-CN" w:bidi="ar"/>
              </w:rPr>
              <w:t>宁夏泸天化</w:t>
            </w:r>
          </w:p>
        </w:tc>
        <w:tc>
          <w:tcPr>
            <w:tcW w:w="1064" w:type="pct"/>
            <w:vAlign w:val="center"/>
          </w:tcPr>
          <w:p w14:paraId="461C261D">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000000"/>
                <w:kern w:val="0"/>
                <w:sz w:val="24"/>
                <w:szCs w:val="24"/>
                <w:u w:val="none"/>
                <w:lang w:val="en-US" w:eastAsia="zh-CN" w:bidi="ar"/>
              </w:rPr>
              <w:t>27-10-11</w:t>
            </w:r>
          </w:p>
        </w:tc>
        <w:tc>
          <w:tcPr>
            <w:tcW w:w="842" w:type="pct"/>
            <w:shd w:val="clear" w:color="auto" w:fill="auto"/>
            <w:vAlign w:val="center"/>
          </w:tcPr>
          <w:p w14:paraId="3DEC817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i w:val="0"/>
                <w:iCs w:val="0"/>
                <w:color w:val="000000"/>
                <w:kern w:val="0"/>
                <w:sz w:val="24"/>
                <w:szCs w:val="24"/>
                <w:u w:val="none"/>
                <w:lang w:val="en-US" w:eastAsia="zh-CN" w:bidi="ar"/>
              </w:rPr>
            </w:pPr>
            <w:r>
              <w:rPr>
                <w:rFonts w:hint="eastAsia" w:ascii="等线" w:hAnsi="等线" w:eastAsia="等线" w:cs="等线"/>
                <w:b w:val="0"/>
                <w:bCs w:val="0"/>
                <w:i w:val="0"/>
                <w:iCs w:val="0"/>
                <w:color w:val="000000"/>
                <w:kern w:val="0"/>
                <w:sz w:val="22"/>
                <w:szCs w:val="22"/>
                <w:u w:val="none"/>
                <w:lang w:val="en-US" w:eastAsia="zh-CN" w:bidi="ar"/>
              </w:rPr>
              <w:t xml:space="preserve">-5.79 </w:t>
            </w:r>
          </w:p>
        </w:tc>
        <w:tc>
          <w:tcPr>
            <w:tcW w:w="1153" w:type="pct"/>
            <w:vAlign w:val="center"/>
          </w:tcPr>
          <w:p w14:paraId="5247002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i w:val="0"/>
                <w:iCs w:val="0"/>
                <w:color w:val="auto"/>
                <w:kern w:val="0"/>
                <w:sz w:val="24"/>
                <w:szCs w:val="24"/>
                <w:u w:val="none"/>
                <w:lang w:val="en-US" w:eastAsia="zh-CN" w:bidi="ar"/>
              </w:rPr>
            </w:pPr>
            <w:r>
              <w:rPr>
                <w:rFonts w:hint="eastAsia" w:ascii="Times New Roman" w:hAnsi="Times New Roman" w:eastAsia="宋体" w:cs="Times New Roman"/>
                <w:b w:val="0"/>
                <w:bCs w:val="0"/>
                <w:i w:val="0"/>
                <w:iCs w:val="0"/>
                <w:color w:val="auto"/>
                <w:kern w:val="0"/>
                <w:sz w:val="24"/>
                <w:szCs w:val="24"/>
                <w:u w:val="none"/>
                <w:lang w:val="en-US" w:eastAsia="zh-CN" w:bidi="ar"/>
              </w:rPr>
              <w:t>10.54</w:t>
            </w:r>
          </w:p>
        </w:tc>
      </w:tr>
      <w:tr w14:paraId="73850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tcPr>
          <w:p w14:paraId="411AC885">
            <w:pPr>
              <w:keepLines w:val="0"/>
              <w:pageBreakBefore w:val="0"/>
              <w:wordWrap/>
              <w:overflowPunct/>
              <w:topLinePunct w:val="0"/>
              <w:bidi w:val="0"/>
              <w:spacing w:line="360" w:lineRule="auto"/>
              <w:rPr>
                <w:rFonts w:ascii="Times New Roman" w:hAnsi="Times New Roman" w:eastAsia="宋体" w:cs="Times New Roman"/>
                <w:b w:val="0"/>
                <w:bCs w:val="0"/>
                <w:szCs w:val="21"/>
              </w:rPr>
            </w:pPr>
            <w:r>
              <w:rPr>
                <w:rFonts w:hint="eastAsia" w:ascii="Times New Roman" w:hAnsi="Times New Roman" w:eastAsia="宋体" w:cs="Times New Roman"/>
                <w:b w:val="0"/>
                <w:bCs w:val="0"/>
                <w:szCs w:val="21"/>
              </w:rPr>
              <w:t>（</w:t>
            </w:r>
            <w:r>
              <w:rPr>
                <w:rFonts w:hint="eastAsia" w:ascii="Times New Roman" w:hAnsi="Times New Roman" w:eastAsia="宋体" w:cs="Times New Roman"/>
                <w:b w:val="0"/>
                <w:bCs w:val="0"/>
                <w:szCs w:val="21"/>
                <w:lang w:val="en-US" w:eastAsia="zh-CN"/>
              </w:rPr>
              <w:t>11</w:t>
            </w:r>
            <w:r>
              <w:rPr>
                <w:rFonts w:hint="eastAsia" w:ascii="Times New Roman" w:hAnsi="Times New Roman" w:eastAsia="宋体" w:cs="Times New Roman"/>
                <w:b w:val="0"/>
                <w:bCs w:val="0"/>
                <w:szCs w:val="21"/>
              </w:rPr>
              <w:t>）</w:t>
            </w:r>
          </w:p>
        </w:tc>
        <w:tc>
          <w:tcPr>
            <w:tcW w:w="1256" w:type="pct"/>
            <w:vAlign w:val="center"/>
          </w:tcPr>
          <w:p w14:paraId="0B0002B8">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b w:val="0"/>
                <w:bCs w:val="0"/>
                <w:szCs w:val="21"/>
              </w:rPr>
            </w:pPr>
            <w:r>
              <w:rPr>
                <w:rFonts w:hint="eastAsia" w:ascii="宋体" w:hAnsi="宋体" w:eastAsia="宋体" w:cs="宋体"/>
                <w:b w:val="0"/>
                <w:bCs w:val="0"/>
                <w:i w:val="0"/>
                <w:iCs w:val="0"/>
                <w:color w:val="000000"/>
                <w:kern w:val="0"/>
                <w:sz w:val="24"/>
                <w:szCs w:val="24"/>
                <w:u w:val="none"/>
                <w:lang w:val="en-US" w:eastAsia="zh-CN" w:bidi="ar"/>
              </w:rPr>
              <w:t>宁夏泸天化</w:t>
            </w:r>
          </w:p>
        </w:tc>
        <w:tc>
          <w:tcPr>
            <w:tcW w:w="1064" w:type="pct"/>
            <w:vAlign w:val="center"/>
          </w:tcPr>
          <w:p w14:paraId="70AC5546">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000000"/>
                <w:kern w:val="0"/>
                <w:sz w:val="24"/>
                <w:szCs w:val="24"/>
                <w:u w:val="none"/>
                <w:lang w:val="en-US" w:eastAsia="zh-CN" w:bidi="ar"/>
              </w:rPr>
              <w:t>26-10-12</w:t>
            </w:r>
          </w:p>
        </w:tc>
        <w:tc>
          <w:tcPr>
            <w:tcW w:w="842" w:type="pct"/>
            <w:shd w:val="clear" w:color="auto" w:fill="auto"/>
            <w:vAlign w:val="center"/>
          </w:tcPr>
          <w:p w14:paraId="462B424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i w:val="0"/>
                <w:iCs w:val="0"/>
                <w:color w:val="000000"/>
                <w:kern w:val="0"/>
                <w:sz w:val="24"/>
                <w:szCs w:val="24"/>
                <w:u w:val="none"/>
                <w:lang w:val="en-US" w:eastAsia="zh-CN" w:bidi="ar"/>
              </w:rPr>
            </w:pPr>
            <w:r>
              <w:rPr>
                <w:rFonts w:hint="eastAsia" w:ascii="等线" w:hAnsi="等线" w:eastAsia="等线" w:cs="等线"/>
                <w:b w:val="0"/>
                <w:bCs w:val="0"/>
                <w:i w:val="0"/>
                <w:iCs w:val="0"/>
                <w:color w:val="000000"/>
                <w:kern w:val="0"/>
                <w:sz w:val="22"/>
                <w:szCs w:val="22"/>
                <w:u w:val="none"/>
                <w:lang w:val="en-US" w:eastAsia="zh-CN" w:bidi="ar"/>
              </w:rPr>
              <w:t xml:space="preserve">3.70 </w:t>
            </w:r>
          </w:p>
        </w:tc>
        <w:tc>
          <w:tcPr>
            <w:tcW w:w="1153" w:type="pct"/>
            <w:vAlign w:val="center"/>
          </w:tcPr>
          <w:p w14:paraId="3B37467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i w:val="0"/>
                <w:iCs w:val="0"/>
                <w:color w:val="auto"/>
                <w:kern w:val="0"/>
                <w:sz w:val="24"/>
                <w:szCs w:val="24"/>
                <w:u w:val="none"/>
                <w:lang w:val="en-US" w:eastAsia="zh-CN" w:bidi="ar"/>
              </w:rPr>
            </w:pPr>
            <w:r>
              <w:rPr>
                <w:rFonts w:hint="eastAsia" w:ascii="Times New Roman" w:hAnsi="Times New Roman" w:eastAsia="宋体" w:cs="Times New Roman"/>
                <w:b w:val="0"/>
                <w:bCs w:val="0"/>
                <w:i w:val="0"/>
                <w:iCs w:val="0"/>
                <w:color w:val="auto"/>
                <w:kern w:val="0"/>
                <w:sz w:val="24"/>
                <w:szCs w:val="24"/>
                <w:u w:val="none"/>
                <w:lang w:val="en-US" w:eastAsia="zh-CN" w:bidi="ar"/>
              </w:rPr>
              <w:t>20.99</w:t>
            </w:r>
          </w:p>
        </w:tc>
      </w:tr>
      <w:tr w14:paraId="123F2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tcPr>
          <w:p w14:paraId="0288967B">
            <w:pPr>
              <w:keepLines w:val="0"/>
              <w:pageBreakBefore w:val="0"/>
              <w:wordWrap/>
              <w:overflowPunct/>
              <w:topLinePunct w:val="0"/>
              <w:bidi w:val="0"/>
              <w:spacing w:line="360" w:lineRule="auto"/>
              <w:rPr>
                <w:rFonts w:ascii="Times New Roman" w:hAnsi="Times New Roman" w:eastAsia="宋体" w:cs="Times New Roman"/>
                <w:b w:val="0"/>
                <w:bCs w:val="0"/>
                <w:szCs w:val="21"/>
              </w:rPr>
            </w:pPr>
            <w:r>
              <w:rPr>
                <w:rFonts w:hint="eastAsia" w:ascii="Times New Roman" w:hAnsi="Times New Roman" w:eastAsia="宋体" w:cs="Times New Roman"/>
                <w:b w:val="0"/>
                <w:bCs w:val="0"/>
                <w:szCs w:val="21"/>
              </w:rPr>
              <w:t>（</w:t>
            </w:r>
            <w:r>
              <w:rPr>
                <w:rFonts w:hint="eastAsia" w:ascii="Times New Roman" w:hAnsi="Times New Roman" w:eastAsia="宋体" w:cs="Times New Roman"/>
                <w:b w:val="0"/>
                <w:bCs w:val="0"/>
                <w:szCs w:val="21"/>
                <w:lang w:val="en-US" w:eastAsia="zh-CN"/>
              </w:rPr>
              <w:t>12</w:t>
            </w:r>
            <w:r>
              <w:rPr>
                <w:rFonts w:hint="eastAsia" w:ascii="Times New Roman" w:hAnsi="Times New Roman" w:eastAsia="宋体" w:cs="Times New Roman"/>
                <w:b w:val="0"/>
                <w:bCs w:val="0"/>
                <w:szCs w:val="21"/>
              </w:rPr>
              <w:t>）</w:t>
            </w:r>
          </w:p>
        </w:tc>
        <w:tc>
          <w:tcPr>
            <w:tcW w:w="1256" w:type="pct"/>
            <w:vAlign w:val="center"/>
          </w:tcPr>
          <w:p w14:paraId="19D05D59">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b w:val="0"/>
                <w:bCs w:val="0"/>
                <w:szCs w:val="21"/>
              </w:rPr>
            </w:pPr>
            <w:r>
              <w:rPr>
                <w:rFonts w:hint="eastAsia" w:ascii="宋体" w:hAnsi="宋体" w:eastAsia="宋体" w:cs="宋体"/>
                <w:b w:val="0"/>
                <w:bCs w:val="0"/>
                <w:i w:val="0"/>
                <w:iCs w:val="0"/>
                <w:color w:val="000000"/>
                <w:kern w:val="0"/>
                <w:sz w:val="24"/>
                <w:szCs w:val="24"/>
                <w:u w:val="none"/>
                <w:lang w:val="en-US" w:eastAsia="zh-CN" w:bidi="ar"/>
              </w:rPr>
              <w:t>宁夏泸天化</w:t>
            </w:r>
          </w:p>
        </w:tc>
        <w:tc>
          <w:tcPr>
            <w:tcW w:w="1064" w:type="pct"/>
            <w:vAlign w:val="center"/>
          </w:tcPr>
          <w:p w14:paraId="042FB379">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000000"/>
                <w:kern w:val="0"/>
                <w:sz w:val="24"/>
                <w:szCs w:val="24"/>
                <w:u w:val="none"/>
                <w:lang w:val="en-US" w:eastAsia="zh-CN" w:bidi="ar"/>
              </w:rPr>
              <w:t>26-9-6</w:t>
            </w:r>
          </w:p>
        </w:tc>
        <w:tc>
          <w:tcPr>
            <w:tcW w:w="842" w:type="pct"/>
            <w:shd w:val="clear" w:color="auto" w:fill="auto"/>
            <w:vAlign w:val="center"/>
          </w:tcPr>
          <w:p w14:paraId="5E03133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i w:val="0"/>
                <w:iCs w:val="0"/>
                <w:color w:val="000000"/>
                <w:kern w:val="0"/>
                <w:sz w:val="24"/>
                <w:szCs w:val="24"/>
                <w:u w:val="none"/>
                <w:lang w:val="en-US" w:eastAsia="zh-CN" w:bidi="ar"/>
              </w:rPr>
            </w:pPr>
            <w:r>
              <w:rPr>
                <w:rFonts w:hint="eastAsia" w:ascii="等线" w:hAnsi="等线" w:eastAsia="等线" w:cs="等线"/>
                <w:b w:val="0"/>
                <w:bCs w:val="0"/>
                <w:i w:val="0"/>
                <w:iCs w:val="0"/>
                <w:color w:val="000000"/>
                <w:kern w:val="0"/>
                <w:sz w:val="22"/>
                <w:szCs w:val="22"/>
                <w:u w:val="none"/>
                <w:lang w:val="en-US" w:eastAsia="zh-CN" w:bidi="ar"/>
              </w:rPr>
              <w:t xml:space="preserve">-3.85 </w:t>
            </w:r>
          </w:p>
        </w:tc>
        <w:tc>
          <w:tcPr>
            <w:tcW w:w="1153" w:type="pct"/>
            <w:vAlign w:val="center"/>
          </w:tcPr>
          <w:p w14:paraId="4FE64BD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i w:val="0"/>
                <w:iCs w:val="0"/>
                <w:color w:val="auto"/>
                <w:kern w:val="0"/>
                <w:sz w:val="24"/>
                <w:szCs w:val="24"/>
                <w:u w:val="none"/>
                <w:lang w:val="en-US" w:eastAsia="zh-CN" w:bidi="ar"/>
              </w:rPr>
            </w:pPr>
            <w:r>
              <w:rPr>
                <w:rFonts w:hint="eastAsia" w:ascii="Times New Roman" w:hAnsi="Times New Roman" w:eastAsia="宋体" w:cs="Times New Roman"/>
                <w:b w:val="0"/>
                <w:bCs w:val="0"/>
                <w:i w:val="0"/>
                <w:iCs w:val="0"/>
                <w:color w:val="auto"/>
                <w:kern w:val="0"/>
                <w:sz w:val="24"/>
                <w:szCs w:val="24"/>
                <w:u w:val="none"/>
                <w:lang w:val="en-US" w:eastAsia="zh-CN" w:bidi="ar"/>
              </w:rPr>
              <w:t>18.61</w:t>
            </w:r>
          </w:p>
        </w:tc>
      </w:tr>
      <w:tr w14:paraId="60ACB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tcPr>
          <w:p w14:paraId="5C650C53">
            <w:pPr>
              <w:keepLines w:val="0"/>
              <w:pageBreakBefore w:val="0"/>
              <w:wordWrap/>
              <w:overflowPunct/>
              <w:topLinePunct w:val="0"/>
              <w:bidi w:val="0"/>
              <w:spacing w:line="360" w:lineRule="auto"/>
              <w:rPr>
                <w:rFonts w:hint="eastAsia" w:ascii="Times New Roman" w:hAnsi="Times New Roman" w:eastAsia="宋体" w:cs="Times New Roman"/>
                <w:b w:val="0"/>
                <w:bCs w:val="0"/>
                <w:szCs w:val="21"/>
                <w:lang w:eastAsia="zh-CN"/>
              </w:rPr>
            </w:pPr>
            <w:r>
              <w:rPr>
                <w:rFonts w:hint="eastAsia" w:ascii="Times New Roman" w:hAnsi="Times New Roman" w:eastAsia="宋体" w:cs="Times New Roman"/>
                <w:b w:val="0"/>
                <w:bCs w:val="0"/>
                <w:szCs w:val="21"/>
                <w:lang w:eastAsia="zh-CN"/>
              </w:rPr>
              <w:t>（</w:t>
            </w:r>
            <w:r>
              <w:rPr>
                <w:rFonts w:hint="eastAsia" w:ascii="Times New Roman" w:hAnsi="Times New Roman" w:eastAsia="宋体" w:cs="Times New Roman"/>
                <w:b w:val="0"/>
                <w:bCs w:val="0"/>
                <w:szCs w:val="21"/>
                <w:lang w:val="en-US" w:eastAsia="zh-CN"/>
              </w:rPr>
              <w:t>13</w:t>
            </w:r>
            <w:r>
              <w:rPr>
                <w:rFonts w:hint="eastAsia" w:ascii="Times New Roman" w:hAnsi="Times New Roman" w:eastAsia="宋体" w:cs="Times New Roman"/>
                <w:b w:val="0"/>
                <w:bCs w:val="0"/>
                <w:szCs w:val="21"/>
                <w:lang w:eastAsia="zh-CN"/>
              </w:rPr>
              <w:t>）</w:t>
            </w:r>
          </w:p>
        </w:tc>
        <w:tc>
          <w:tcPr>
            <w:tcW w:w="1256" w:type="pct"/>
            <w:vAlign w:val="center"/>
          </w:tcPr>
          <w:p w14:paraId="0A153125">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b w:val="0"/>
                <w:bCs w:val="0"/>
                <w:szCs w:val="21"/>
              </w:rPr>
            </w:pPr>
            <w:r>
              <w:rPr>
                <w:rFonts w:hint="eastAsia" w:ascii="宋体" w:hAnsi="宋体" w:eastAsia="宋体" w:cs="宋体"/>
                <w:b w:val="0"/>
                <w:bCs w:val="0"/>
                <w:i w:val="0"/>
                <w:iCs w:val="0"/>
                <w:color w:val="000000"/>
                <w:kern w:val="0"/>
                <w:sz w:val="24"/>
                <w:szCs w:val="24"/>
                <w:u w:val="none"/>
                <w:lang w:val="en-US" w:eastAsia="zh-CN" w:bidi="ar"/>
              </w:rPr>
              <w:t>宁夏泸天化</w:t>
            </w:r>
          </w:p>
        </w:tc>
        <w:tc>
          <w:tcPr>
            <w:tcW w:w="1064" w:type="pct"/>
            <w:vAlign w:val="center"/>
          </w:tcPr>
          <w:p w14:paraId="21CC1FFC">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000000"/>
                <w:kern w:val="0"/>
                <w:sz w:val="24"/>
                <w:szCs w:val="24"/>
                <w:u w:val="none"/>
                <w:lang w:val="en-US" w:eastAsia="zh-CN" w:bidi="ar"/>
              </w:rPr>
              <w:t>25-10-6</w:t>
            </w:r>
          </w:p>
        </w:tc>
        <w:tc>
          <w:tcPr>
            <w:tcW w:w="842" w:type="pct"/>
            <w:shd w:val="clear" w:color="auto" w:fill="auto"/>
            <w:vAlign w:val="center"/>
          </w:tcPr>
          <w:p w14:paraId="59B5F2C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i w:val="0"/>
                <w:iCs w:val="0"/>
                <w:color w:val="000000"/>
                <w:kern w:val="0"/>
                <w:sz w:val="24"/>
                <w:szCs w:val="24"/>
                <w:u w:val="none"/>
                <w:lang w:val="en-US" w:eastAsia="zh-CN" w:bidi="ar"/>
              </w:rPr>
            </w:pPr>
            <w:r>
              <w:rPr>
                <w:rFonts w:hint="eastAsia" w:ascii="等线" w:hAnsi="等线" w:eastAsia="等线" w:cs="等线"/>
                <w:b w:val="0"/>
                <w:bCs w:val="0"/>
                <w:i w:val="0"/>
                <w:iCs w:val="0"/>
                <w:color w:val="000000"/>
                <w:kern w:val="0"/>
                <w:sz w:val="22"/>
                <w:szCs w:val="22"/>
                <w:u w:val="none"/>
                <w:lang w:val="en-US" w:eastAsia="zh-CN" w:bidi="ar"/>
              </w:rPr>
              <w:t xml:space="preserve">-1.39 </w:t>
            </w:r>
          </w:p>
        </w:tc>
        <w:tc>
          <w:tcPr>
            <w:tcW w:w="1153" w:type="pct"/>
            <w:vAlign w:val="center"/>
          </w:tcPr>
          <w:p w14:paraId="47316EC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i w:val="0"/>
                <w:iCs w:val="0"/>
                <w:color w:val="auto"/>
                <w:kern w:val="0"/>
                <w:sz w:val="24"/>
                <w:szCs w:val="24"/>
                <w:u w:val="none"/>
                <w:lang w:val="en-US" w:eastAsia="zh-CN" w:bidi="ar"/>
              </w:rPr>
            </w:pPr>
            <w:r>
              <w:rPr>
                <w:rFonts w:hint="eastAsia" w:ascii="Times New Roman" w:hAnsi="Times New Roman" w:eastAsia="宋体" w:cs="Times New Roman"/>
                <w:b w:val="0"/>
                <w:bCs w:val="0"/>
                <w:i w:val="0"/>
                <w:iCs w:val="0"/>
                <w:color w:val="auto"/>
                <w:kern w:val="0"/>
                <w:sz w:val="24"/>
                <w:szCs w:val="24"/>
                <w:u w:val="none"/>
                <w:lang w:val="en-US" w:eastAsia="zh-CN" w:bidi="ar"/>
              </w:rPr>
              <w:t>2.05</w:t>
            </w:r>
          </w:p>
        </w:tc>
      </w:tr>
      <w:tr w14:paraId="7605D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tcPr>
          <w:p w14:paraId="37869FFA">
            <w:pPr>
              <w:keepLines w:val="0"/>
              <w:pageBreakBefore w:val="0"/>
              <w:wordWrap/>
              <w:overflowPunct/>
              <w:topLinePunct w:val="0"/>
              <w:bidi w:val="0"/>
              <w:spacing w:line="360" w:lineRule="auto"/>
              <w:rPr>
                <w:rFonts w:hint="eastAsia" w:ascii="Times New Roman" w:hAnsi="Times New Roman" w:eastAsia="宋体" w:cs="Times New Roman"/>
                <w:b w:val="0"/>
                <w:bCs w:val="0"/>
                <w:szCs w:val="21"/>
                <w:lang w:eastAsia="zh-CN"/>
              </w:rPr>
            </w:pPr>
            <w:r>
              <w:rPr>
                <w:rFonts w:hint="eastAsia" w:ascii="Times New Roman" w:hAnsi="Times New Roman" w:eastAsia="宋体" w:cs="Times New Roman"/>
                <w:b w:val="0"/>
                <w:bCs w:val="0"/>
                <w:szCs w:val="21"/>
                <w:lang w:eastAsia="zh-CN"/>
              </w:rPr>
              <w:t>（</w:t>
            </w:r>
            <w:r>
              <w:rPr>
                <w:rFonts w:hint="eastAsia" w:ascii="Times New Roman" w:hAnsi="Times New Roman" w:eastAsia="宋体" w:cs="Times New Roman"/>
                <w:b w:val="0"/>
                <w:bCs w:val="0"/>
                <w:szCs w:val="21"/>
                <w:lang w:val="en-US" w:eastAsia="zh-CN"/>
              </w:rPr>
              <w:t>14</w:t>
            </w:r>
            <w:r>
              <w:rPr>
                <w:rFonts w:hint="eastAsia" w:ascii="Times New Roman" w:hAnsi="Times New Roman" w:eastAsia="宋体" w:cs="Times New Roman"/>
                <w:b w:val="0"/>
                <w:bCs w:val="0"/>
                <w:szCs w:val="21"/>
                <w:lang w:eastAsia="zh-CN"/>
              </w:rPr>
              <w:t>）</w:t>
            </w:r>
          </w:p>
        </w:tc>
        <w:tc>
          <w:tcPr>
            <w:tcW w:w="1256" w:type="pct"/>
            <w:vAlign w:val="center"/>
          </w:tcPr>
          <w:p w14:paraId="22C3E587">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b w:val="0"/>
                <w:bCs w:val="0"/>
                <w:szCs w:val="21"/>
              </w:rPr>
            </w:pPr>
            <w:r>
              <w:rPr>
                <w:rFonts w:hint="eastAsia" w:ascii="宋体" w:hAnsi="宋体" w:eastAsia="宋体" w:cs="宋体"/>
                <w:b w:val="0"/>
                <w:bCs w:val="0"/>
                <w:i w:val="0"/>
                <w:iCs w:val="0"/>
                <w:color w:val="000000"/>
                <w:kern w:val="0"/>
                <w:sz w:val="24"/>
                <w:szCs w:val="24"/>
                <w:u w:val="none"/>
                <w:lang w:val="en-US" w:eastAsia="zh-CN" w:bidi="ar"/>
              </w:rPr>
              <w:t>宁夏泸天化</w:t>
            </w:r>
          </w:p>
        </w:tc>
        <w:tc>
          <w:tcPr>
            <w:tcW w:w="1064" w:type="pct"/>
            <w:vAlign w:val="center"/>
          </w:tcPr>
          <w:p w14:paraId="6F949F79">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000000"/>
                <w:kern w:val="0"/>
                <w:sz w:val="24"/>
                <w:szCs w:val="24"/>
                <w:u w:val="none"/>
                <w:lang w:val="en-US" w:eastAsia="zh-CN" w:bidi="ar"/>
              </w:rPr>
              <w:t>27-10-11</w:t>
            </w:r>
          </w:p>
        </w:tc>
        <w:tc>
          <w:tcPr>
            <w:tcW w:w="842" w:type="pct"/>
            <w:shd w:val="clear" w:color="auto" w:fill="auto"/>
            <w:vAlign w:val="center"/>
          </w:tcPr>
          <w:p w14:paraId="4A44A75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i w:val="0"/>
                <w:iCs w:val="0"/>
                <w:color w:val="000000"/>
                <w:kern w:val="0"/>
                <w:sz w:val="24"/>
                <w:szCs w:val="24"/>
                <w:u w:val="none"/>
                <w:lang w:val="en-US" w:eastAsia="zh-CN" w:bidi="ar"/>
              </w:rPr>
            </w:pPr>
            <w:r>
              <w:rPr>
                <w:rFonts w:hint="eastAsia" w:ascii="等线" w:hAnsi="等线" w:eastAsia="等线" w:cs="等线"/>
                <w:b w:val="0"/>
                <w:bCs w:val="0"/>
                <w:i w:val="0"/>
                <w:iCs w:val="0"/>
                <w:color w:val="000000"/>
                <w:kern w:val="0"/>
                <w:sz w:val="22"/>
                <w:szCs w:val="22"/>
                <w:u w:val="none"/>
                <w:lang w:val="en-US" w:eastAsia="zh-CN" w:bidi="ar"/>
              </w:rPr>
              <w:t xml:space="preserve">4.02 </w:t>
            </w:r>
          </w:p>
        </w:tc>
        <w:tc>
          <w:tcPr>
            <w:tcW w:w="1153" w:type="pct"/>
            <w:vAlign w:val="center"/>
          </w:tcPr>
          <w:p w14:paraId="7D93889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i w:val="0"/>
                <w:iCs w:val="0"/>
                <w:color w:val="auto"/>
                <w:kern w:val="0"/>
                <w:sz w:val="24"/>
                <w:szCs w:val="24"/>
                <w:u w:val="none"/>
                <w:lang w:val="en-US" w:eastAsia="zh-CN" w:bidi="ar"/>
              </w:rPr>
            </w:pPr>
            <w:r>
              <w:rPr>
                <w:rFonts w:hint="eastAsia" w:ascii="Times New Roman" w:hAnsi="Times New Roman" w:eastAsia="宋体" w:cs="Times New Roman"/>
                <w:b w:val="0"/>
                <w:bCs w:val="0"/>
                <w:i w:val="0"/>
                <w:iCs w:val="0"/>
                <w:color w:val="auto"/>
                <w:kern w:val="0"/>
                <w:sz w:val="24"/>
                <w:szCs w:val="24"/>
                <w:u w:val="none"/>
                <w:lang w:val="en-US" w:eastAsia="zh-CN" w:bidi="ar"/>
              </w:rPr>
              <w:t>2.22</w:t>
            </w:r>
          </w:p>
        </w:tc>
      </w:tr>
      <w:tr w14:paraId="56BE2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tcPr>
          <w:p w14:paraId="7C10638D">
            <w:pPr>
              <w:keepLines w:val="0"/>
              <w:pageBreakBefore w:val="0"/>
              <w:wordWrap/>
              <w:overflowPunct/>
              <w:topLinePunct w:val="0"/>
              <w:bidi w:val="0"/>
              <w:spacing w:line="360" w:lineRule="auto"/>
              <w:rPr>
                <w:rFonts w:hint="eastAsia" w:ascii="Times New Roman" w:hAnsi="Times New Roman" w:eastAsia="宋体" w:cs="Times New Roman"/>
                <w:b w:val="0"/>
                <w:bCs w:val="0"/>
                <w:szCs w:val="21"/>
                <w:lang w:eastAsia="zh-CN"/>
              </w:rPr>
            </w:pPr>
            <w:r>
              <w:rPr>
                <w:rFonts w:hint="eastAsia" w:ascii="Times New Roman" w:hAnsi="Times New Roman" w:eastAsia="宋体" w:cs="Times New Roman"/>
                <w:b w:val="0"/>
                <w:bCs w:val="0"/>
                <w:szCs w:val="21"/>
                <w:lang w:eastAsia="zh-CN"/>
              </w:rPr>
              <w:t>（</w:t>
            </w:r>
            <w:r>
              <w:rPr>
                <w:rFonts w:hint="eastAsia" w:ascii="Times New Roman" w:hAnsi="Times New Roman" w:eastAsia="宋体" w:cs="Times New Roman"/>
                <w:b w:val="0"/>
                <w:bCs w:val="0"/>
                <w:szCs w:val="21"/>
                <w:lang w:val="en-US" w:eastAsia="zh-CN"/>
              </w:rPr>
              <w:t>15</w:t>
            </w:r>
            <w:r>
              <w:rPr>
                <w:rFonts w:hint="eastAsia" w:ascii="Times New Roman" w:hAnsi="Times New Roman" w:eastAsia="宋体" w:cs="Times New Roman"/>
                <w:b w:val="0"/>
                <w:bCs w:val="0"/>
                <w:szCs w:val="21"/>
                <w:lang w:eastAsia="zh-CN"/>
              </w:rPr>
              <w:t>）</w:t>
            </w:r>
          </w:p>
        </w:tc>
        <w:tc>
          <w:tcPr>
            <w:tcW w:w="1256" w:type="pct"/>
            <w:vAlign w:val="center"/>
          </w:tcPr>
          <w:p w14:paraId="028DAA5C">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b w:val="0"/>
                <w:bCs w:val="0"/>
                <w:szCs w:val="21"/>
              </w:rPr>
            </w:pPr>
            <w:r>
              <w:rPr>
                <w:rFonts w:hint="eastAsia" w:ascii="宋体" w:hAnsi="宋体" w:eastAsia="宋体" w:cs="宋体"/>
                <w:b w:val="0"/>
                <w:bCs w:val="0"/>
                <w:i w:val="0"/>
                <w:iCs w:val="0"/>
                <w:color w:val="000000"/>
                <w:kern w:val="0"/>
                <w:sz w:val="24"/>
                <w:szCs w:val="24"/>
                <w:u w:val="none"/>
                <w:lang w:val="en-US" w:eastAsia="zh-CN" w:bidi="ar"/>
              </w:rPr>
              <w:t>宁夏泸天化</w:t>
            </w:r>
          </w:p>
        </w:tc>
        <w:tc>
          <w:tcPr>
            <w:tcW w:w="1064" w:type="pct"/>
            <w:vAlign w:val="center"/>
          </w:tcPr>
          <w:p w14:paraId="1017A400">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000000"/>
                <w:kern w:val="0"/>
                <w:sz w:val="24"/>
                <w:szCs w:val="24"/>
                <w:u w:val="none"/>
                <w:lang w:val="en-US" w:eastAsia="zh-CN" w:bidi="ar"/>
              </w:rPr>
              <w:t>22-20-5</w:t>
            </w:r>
          </w:p>
        </w:tc>
        <w:tc>
          <w:tcPr>
            <w:tcW w:w="842" w:type="pct"/>
            <w:shd w:val="clear" w:color="auto" w:fill="auto"/>
            <w:vAlign w:val="center"/>
          </w:tcPr>
          <w:p w14:paraId="44ECE02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i w:val="0"/>
                <w:iCs w:val="0"/>
                <w:color w:val="000000"/>
                <w:kern w:val="0"/>
                <w:sz w:val="24"/>
                <w:szCs w:val="24"/>
                <w:u w:val="none"/>
                <w:lang w:val="en-US" w:eastAsia="zh-CN" w:bidi="ar"/>
              </w:rPr>
            </w:pPr>
            <w:r>
              <w:rPr>
                <w:rFonts w:hint="eastAsia" w:ascii="等线" w:hAnsi="等线" w:eastAsia="等线" w:cs="等线"/>
                <w:b w:val="0"/>
                <w:bCs w:val="0"/>
                <w:i w:val="0"/>
                <w:iCs w:val="0"/>
                <w:color w:val="000000"/>
                <w:kern w:val="0"/>
                <w:sz w:val="22"/>
                <w:szCs w:val="22"/>
                <w:u w:val="none"/>
                <w:lang w:val="en-US" w:eastAsia="zh-CN" w:bidi="ar"/>
              </w:rPr>
              <w:t xml:space="preserve">-14.42 </w:t>
            </w:r>
          </w:p>
        </w:tc>
        <w:tc>
          <w:tcPr>
            <w:tcW w:w="1153" w:type="pct"/>
            <w:vAlign w:val="center"/>
          </w:tcPr>
          <w:p w14:paraId="6C5FAAC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i w:val="0"/>
                <w:iCs w:val="0"/>
                <w:color w:val="auto"/>
                <w:kern w:val="0"/>
                <w:sz w:val="24"/>
                <w:szCs w:val="24"/>
                <w:u w:val="none"/>
                <w:lang w:val="en-US" w:eastAsia="zh-CN" w:bidi="ar"/>
              </w:rPr>
            </w:pPr>
            <w:r>
              <w:rPr>
                <w:rFonts w:hint="eastAsia" w:ascii="Times New Roman" w:hAnsi="Times New Roman" w:eastAsia="宋体" w:cs="Times New Roman"/>
                <w:b w:val="0"/>
                <w:bCs w:val="0"/>
                <w:i w:val="0"/>
                <w:iCs w:val="0"/>
                <w:color w:val="auto"/>
                <w:kern w:val="0"/>
                <w:sz w:val="24"/>
                <w:szCs w:val="24"/>
                <w:u w:val="none"/>
                <w:lang w:val="en-US" w:eastAsia="zh-CN" w:bidi="ar"/>
              </w:rPr>
              <w:t>-12.02</w:t>
            </w:r>
          </w:p>
        </w:tc>
      </w:tr>
      <w:tr w14:paraId="0470A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shd w:val="clear" w:color="auto" w:fill="auto"/>
            <w:vAlign w:val="top"/>
          </w:tcPr>
          <w:p w14:paraId="33CAFBBD">
            <w:pPr>
              <w:keepLines w:val="0"/>
              <w:pageBreakBefore w:val="0"/>
              <w:wordWrap/>
              <w:overflowPunct/>
              <w:topLinePunct w:val="0"/>
              <w:bidi w:val="0"/>
              <w:spacing w:line="360" w:lineRule="auto"/>
              <w:rPr>
                <w:rFonts w:hint="eastAsia" w:ascii="Times New Roman" w:hAnsi="Times New Roman" w:eastAsia="宋体" w:cs="Times New Roman"/>
                <w:b w:val="0"/>
                <w:bCs w:val="0"/>
                <w:kern w:val="2"/>
                <w:sz w:val="21"/>
                <w:szCs w:val="21"/>
                <w:lang w:val="en-US" w:eastAsia="zh-CN" w:bidi="ar-SA"/>
              </w:rPr>
            </w:pPr>
            <w:r>
              <w:rPr>
                <w:rFonts w:ascii="Times New Roman" w:hAnsi="Times New Roman" w:eastAsia="宋体" w:cs="Times New Roman"/>
                <w:b w:val="0"/>
                <w:bCs w:val="0"/>
                <w:szCs w:val="21"/>
              </w:rPr>
              <w:t>（</w:t>
            </w:r>
            <w:r>
              <w:rPr>
                <w:rFonts w:hint="eastAsia" w:ascii="Times New Roman" w:hAnsi="Times New Roman" w:eastAsia="宋体" w:cs="Times New Roman"/>
                <w:b w:val="0"/>
                <w:bCs w:val="0"/>
                <w:szCs w:val="21"/>
                <w:lang w:val="en-US" w:eastAsia="zh-CN"/>
              </w:rPr>
              <w:t>1</w:t>
            </w:r>
            <w:r>
              <w:rPr>
                <w:rFonts w:ascii="Times New Roman" w:hAnsi="Times New Roman" w:eastAsia="宋体" w:cs="Times New Roman"/>
                <w:b w:val="0"/>
                <w:bCs w:val="0"/>
                <w:szCs w:val="21"/>
              </w:rPr>
              <w:t>6）</w:t>
            </w:r>
          </w:p>
        </w:tc>
        <w:tc>
          <w:tcPr>
            <w:tcW w:w="1256" w:type="pct"/>
            <w:vAlign w:val="center"/>
          </w:tcPr>
          <w:p w14:paraId="6FC7FFC8">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b w:val="0"/>
                <w:bCs w:val="0"/>
                <w:szCs w:val="21"/>
              </w:rPr>
            </w:pPr>
            <w:r>
              <w:rPr>
                <w:rFonts w:hint="eastAsia" w:ascii="宋体" w:hAnsi="宋体" w:eastAsia="宋体" w:cs="宋体"/>
                <w:b w:val="0"/>
                <w:bCs w:val="0"/>
                <w:i w:val="0"/>
                <w:iCs w:val="0"/>
                <w:color w:val="000000"/>
                <w:kern w:val="0"/>
                <w:sz w:val="24"/>
                <w:szCs w:val="24"/>
                <w:u w:val="none"/>
                <w:lang w:val="en-US" w:eastAsia="zh-CN" w:bidi="ar"/>
              </w:rPr>
              <w:t>山东三色</w:t>
            </w:r>
          </w:p>
        </w:tc>
        <w:tc>
          <w:tcPr>
            <w:tcW w:w="1064" w:type="pct"/>
            <w:vAlign w:val="center"/>
          </w:tcPr>
          <w:p w14:paraId="0EECE74C">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000000"/>
                <w:kern w:val="0"/>
                <w:sz w:val="24"/>
                <w:szCs w:val="24"/>
                <w:u w:val="none"/>
                <w:lang w:val="en-US" w:eastAsia="zh-CN" w:bidi="ar"/>
              </w:rPr>
              <w:t>26-10-12</w:t>
            </w:r>
          </w:p>
        </w:tc>
        <w:tc>
          <w:tcPr>
            <w:tcW w:w="842" w:type="pct"/>
            <w:shd w:val="clear" w:color="auto" w:fill="auto"/>
            <w:vAlign w:val="center"/>
          </w:tcPr>
          <w:p w14:paraId="5B8A6D5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i w:val="0"/>
                <w:iCs w:val="0"/>
                <w:color w:val="000000"/>
                <w:kern w:val="0"/>
                <w:sz w:val="24"/>
                <w:szCs w:val="24"/>
                <w:u w:val="none"/>
                <w:lang w:val="en-US" w:eastAsia="zh-CN" w:bidi="ar"/>
              </w:rPr>
            </w:pPr>
            <w:r>
              <w:rPr>
                <w:rFonts w:hint="eastAsia" w:ascii="等线" w:hAnsi="等线" w:eastAsia="等线" w:cs="等线"/>
                <w:b w:val="0"/>
                <w:bCs w:val="0"/>
                <w:i w:val="0"/>
                <w:iCs w:val="0"/>
                <w:color w:val="000000"/>
                <w:kern w:val="0"/>
                <w:sz w:val="22"/>
                <w:szCs w:val="22"/>
                <w:u w:val="none"/>
                <w:lang w:val="en-US" w:eastAsia="zh-CN" w:bidi="ar"/>
              </w:rPr>
              <w:t xml:space="preserve">-5.41 </w:t>
            </w:r>
          </w:p>
        </w:tc>
        <w:tc>
          <w:tcPr>
            <w:tcW w:w="1153" w:type="pct"/>
            <w:vAlign w:val="center"/>
          </w:tcPr>
          <w:p w14:paraId="72BE797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i w:val="0"/>
                <w:iCs w:val="0"/>
                <w:color w:val="auto"/>
                <w:kern w:val="0"/>
                <w:sz w:val="24"/>
                <w:szCs w:val="24"/>
                <w:u w:val="none"/>
                <w:lang w:val="en-US" w:eastAsia="zh-CN" w:bidi="ar"/>
              </w:rPr>
            </w:pPr>
            <w:r>
              <w:rPr>
                <w:rFonts w:hint="eastAsia" w:ascii="Times New Roman" w:hAnsi="Times New Roman" w:eastAsia="宋体" w:cs="Times New Roman"/>
                <w:b w:val="0"/>
                <w:bCs w:val="0"/>
                <w:i w:val="0"/>
                <w:iCs w:val="0"/>
                <w:color w:val="auto"/>
                <w:kern w:val="0"/>
                <w:sz w:val="24"/>
                <w:szCs w:val="24"/>
                <w:u w:val="none"/>
                <w:lang w:val="en-US" w:eastAsia="zh-CN" w:bidi="ar"/>
              </w:rPr>
              <w:t>-15.72</w:t>
            </w:r>
          </w:p>
        </w:tc>
      </w:tr>
      <w:tr w14:paraId="14368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shd w:val="clear" w:color="auto" w:fill="auto"/>
            <w:vAlign w:val="top"/>
          </w:tcPr>
          <w:p w14:paraId="1534C33B">
            <w:pPr>
              <w:keepLines w:val="0"/>
              <w:pageBreakBefore w:val="0"/>
              <w:wordWrap/>
              <w:overflowPunct/>
              <w:topLinePunct w:val="0"/>
              <w:bidi w:val="0"/>
              <w:spacing w:line="360" w:lineRule="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szCs w:val="21"/>
              </w:rPr>
              <w:t>（</w:t>
            </w:r>
            <w:r>
              <w:rPr>
                <w:rFonts w:hint="eastAsia" w:ascii="Times New Roman" w:hAnsi="Times New Roman" w:eastAsia="宋体" w:cs="Times New Roman"/>
                <w:b w:val="0"/>
                <w:bCs w:val="0"/>
                <w:szCs w:val="21"/>
                <w:lang w:val="en-US" w:eastAsia="zh-CN"/>
              </w:rPr>
              <w:t>1</w:t>
            </w:r>
            <w:r>
              <w:rPr>
                <w:rFonts w:hint="eastAsia" w:ascii="Times New Roman" w:hAnsi="Times New Roman" w:eastAsia="宋体" w:cs="Times New Roman"/>
                <w:b w:val="0"/>
                <w:bCs w:val="0"/>
                <w:szCs w:val="21"/>
              </w:rPr>
              <w:t>7）</w:t>
            </w:r>
          </w:p>
        </w:tc>
        <w:tc>
          <w:tcPr>
            <w:tcW w:w="1256" w:type="pct"/>
            <w:vAlign w:val="center"/>
          </w:tcPr>
          <w:p w14:paraId="2934C6D8">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b w:val="0"/>
                <w:bCs w:val="0"/>
                <w:szCs w:val="21"/>
              </w:rPr>
            </w:pPr>
            <w:r>
              <w:rPr>
                <w:rFonts w:hint="eastAsia" w:ascii="宋体" w:hAnsi="宋体" w:eastAsia="宋体" w:cs="宋体"/>
                <w:b w:val="0"/>
                <w:bCs w:val="0"/>
                <w:i w:val="0"/>
                <w:iCs w:val="0"/>
                <w:color w:val="000000"/>
                <w:kern w:val="0"/>
                <w:sz w:val="24"/>
                <w:szCs w:val="24"/>
                <w:u w:val="none"/>
                <w:lang w:val="en-US" w:eastAsia="zh-CN" w:bidi="ar"/>
              </w:rPr>
              <w:t>山东三色</w:t>
            </w:r>
          </w:p>
        </w:tc>
        <w:tc>
          <w:tcPr>
            <w:tcW w:w="1064" w:type="pct"/>
            <w:vAlign w:val="center"/>
          </w:tcPr>
          <w:p w14:paraId="7E85380A">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000000"/>
                <w:kern w:val="0"/>
                <w:sz w:val="24"/>
                <w:szCs w:val="24"/>
                <w:u w:val="none"/>
                <w:lang w:val="en-US" w:eastAsia="zh-CN" w:bidi="ar"/>
              </w:rPr>
              <w:t>27-12-12</w:t>
            </w:r>
          </w:p>
        </w:tc>
        <w:tc>
          <w:tcPr>
            <w:tcW w:w="842" w:type="pct"/>
            <w:shd w:val="clear" w:color="auto" w:fill="auto"/>
            <w:vAlign w:val="center"/>
          </w:tcPr>
          <w:p w14:paraId="1943D04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i w:val="0"/>
                <w:iCs w:val="0"/>
                <w:color w:val="000000"/>
                <w:kern w:val="0"/>
                <w:sz w:val="24"/>
                <w:szCs w:val="24"/>
                <w:u w:val="none"/>
                <w:lang w:val="en-US" w:eastAsia="zh-CN" w:bidi="ar"/>
              </w:rPr>
            </w:pPr>
            <w:r>
              <w:rPr>
                <w:rFonts w:hint="eastAsia" w:ascii="等线" w:hAnsi="等线" w:eastAsia="等线" w:cs="等线"/>
                <w:b w:val="0"/>
                <w:bCs w:val="0"/>
                <w:i w:val="0"/>
                <w:iCs w:val="0"/>
                <w:color w:val="000000"/>
                <w:kern w:val="0"/>
                <w:sz w:val="22"/>
                <w:szCs w:val="22"/>
                <w:u w:val="none"/>
                <w:lang w:val="en-US" w:eastAsia="zh-CN" w:bidi="ar"/>
              </w:rPr>
              <w:t xml:space="preserve">-3.72 </w:t>
            </w:r>
          </w:p>
        </w:tc>
        <w:tc>
          <w:tcPr>
            <w:tcW w:w="1153" w:type="pct"/>
            <w:vAlign w:val="center"/>
          </w:tcPr>
          <w:p w14:paraId="3C34213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i w:val="0"/>
                <w:iCs w:val="0"/>
                <w:color w:val="auto"/>
                <w:kern w:val="0"/>
                <w:sz w:val="24"/>
                <w:szCs w:val="24"/>
                <w:u w:val="none"/>
                <w:lang w:val="en-US" w:eastAsia="zh-CN" w:bidi="ar"/>
              </w:rPr>
            </w:pPr>
            <w:r>
              <w:rPr>
                <w:rFonts w:hint="eastAsia" w:ascii="Times New Roman" w:hAnsi="Times New Roman" w:eastAsia="宋体" w:cs="Times New Roman"/>
                <w:b w:val="0"/>
                <w:bCs w:val="0"/>
                <w:i w:val="0"/>
                <w:iCs w:val="0"/>
                <w:color w:val="auto"/>
                <w:kern w:val="0"/>
                <w:sz w:val="24"/>
                <w:szCs w:val="24"/>
                <w:u w:val="none"/>
                <w:lang w:val="en-US" w:eastAsia="zh-CN" w:bidi="ar"/>
              </w:rPr>
              <w:t>22.10</w:t>
            </w:r>
          </w:p>
        </w:tc>
      </w:tr>
      <w:tr w14:paraId="74BAD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shd w:val="clear" w:color="auto" w:fill="auto"/>
            <w:vAlign w:val="top"/>
          </w:tcPr>
          <w:p w14:paraId="6BBAC647">
            <w:pPr>
              <w:keepLines w:val="0"/>
              <w:pageBreakBefore w:val="0"/>
              <w:wordWrap/>
              <w:overflowPunct/>
              <w:topLinePunct w:val="0"/>
              <w:bidi w:val="0"/>
              <w:spacing w:line="360" w:lineRule="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szCs w:val="21"/>
              </w:rPr>
              <w:t>（</w:t>
            </w:r>
            <w:r>
              <w:rPr>
                <w:rFonts w:hint="eastAsia" w:ascii="Times New Roman" w:hAnsi="Times New Roman" w:eastAsia="宋体" w:cs="Times New Roman"/>
                <w:b w:val="0"/>
                <w:bCs w:val="0"/>
                <w:szCs w:val="21"/>
                <w:lang w:val="en-US" w:eastAsia="zh-CN"/>
              </w:rPr>
              <w:t>1</w:t>
            </w:r>
            <w:r>
              <w:rPr>
                <w:rFonts w:hint="eastAsia" w:ascii="Times New Roman" w:hAnsi="Times New Roman" w:eastAsia="宋体" w:cs="Times New Roman"/>
                <w:b w:val="0"/>
                <w:bCs w:val="0"/>
                <w:szCs w:val="21"/>
              </w:rPr>
              <w:t>8）</w:t>
            </w:r>
          </w:p>
        </w:tc>
        <w:tc>
          <w:tcPr>
            <w:tcW w:w="1256" w:type="pct"/>
            <w:vAlign w:val="center"/>
          </w:tcPr>
          <w:p w14:paraId="0EAC594D">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b w:val="0"/>
                <w:bCs w:val="0"/>
                <w:szCs w:val="21"/>
              </w:rPr>
            </w:pPr>
            <w:r>
              <w:rPr>
                <w:rFonts w:hint="eastAsia" w:ascii="宋体" w:hAnsi="宋体" w:eastAsia="宋体" w:cs="宋体"/>
                <w:b w:val="0"/>
                <w:bCs w:val="0"/>
                <w:i w:val="0"/>
                <w:iCs w:val="0"/>
                <w:color w:val="000000"/>
                <w:kern w:val="0"/>
                <w:sz w:val="24"/>
                <w:szCs w:val="24"/>
                <w:u w:val="none"/>
                <w:lang w:val="en-US" w:eastAsia="zh-CN" w:bidi="ar"/>
              </w:rPr>
              <w:t>山东三色</w:t>
            </w:r>
          </w:p>
        </w:tc>
        <w:tc>
          <w:tcPr>
            <w:tcW w:w="1064" w:type="pct"/>
            <w:vAlign w:val="center"/>
          </w:tcPr>
          <w:p w14:paraId="331E2B90">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000000"/>
                <w:kern w:val="0"/>
                <w:sz w:val="24"/>
                <w:szCs w:val="24"/>
                <w:u w:val="none"/>
                <w:lang w:val="en-US" w:eastAsia="zh-CN" w:bidi="ar"/>
              </w:rPr>
              <w:t>26-12-10</w:t>
            </w:r>
          </w:p>
        </w:tc>
        <w:tc>
          <w:tcPr>
            <w:tcW w:w="842" w:type="pct"/>
            <w:shd w:val="clear" w:color="auto" w:fill="auto"/>
            <w:vAlign w:val="center"/>
          </w:tcPr>
          <w:p w14:paraId="525AA12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i w:val="0"/>
                <w:iCs w:val="0"/>
                <w:color w:val="000000"/>
                <w:kern w:val="0"/>
                <w:sz w:val="24"/>
                <w:szCs w:val="24"/>
                <w:u w:val="none"/>
                <w:lang w:val="en-US" w:eastAsia="zh-CN" w:bidi="ar"/>
              </w:rPr>
            </w:pPr>
            <w:r>
              <w:rPr>
                <w:rFonts w:hint="eastAsia" w:ascii="等线" w:hAnsi="等线" w:eastAsia="等线" w:cs="等线"/>
                <w:b w:val="0"/>
                <w:bCs w:val="0"/>
                <w:i w:val="0"/>
                <w:iCs w:val="0"/>
                <w:color w:val="000000"/>
                <w:kern w:val="0"/>
                <w:sz w:val="22"/>
                <w:szCs w:val="22"/>
                <w:u w:val="none"/>
                <w:lang w:val="en-US" w:eastAsia="zh-CN" w:bidi="ar"/>
              </w:rPr>
              <w:t xml:space="preserve">-4.55 </w:t>
            </w:r>
          </w:p>
        </w:tc>
        <w:tc>
          <w:tcPr>
            <w:tcW w:w="1153" w:type="pct"/>
            <w:vAlign w:val="center"/>
          </w:tcPr>
          <w:p w14:paraId="124A9C8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i w:val="0"/>
                <w:iCs w:val="0"/>
                <w:color w:val="auto"/>
                <w:kern w:val="0"/>
                <w:sz w:val="24"/>
                <w:szCs w:val="24"/>
                <w:u w:val="none"/>
                <w:lang w:val="en-US" w:eastAsia="zh-CN" w:bidi="ar"/>
              </w:rPr>
            </w:pPr>
            <w:r>
              <w:rPr>
                <w:rFonts w:hint="eastAsia" w:ascii="Times New Roman" w:hAnsi="Times New Roman" w:eastAsia="宋体" w:cs="Times New Roman"/>
                <w:b w:val="0"/>
                <w:bCs w:val="0"/>
                <w:i w:val="0"/>
                <w:iCs w:val="0"/>
                <w:color w:val="auto"/>
                <w:kern w:val="0"/>
                <w:sz w:val="24"/>
                <w:szCs w:val="24"/>
                <w:u w:val="none"/>
                <w:lang w:val="en-US" w:eastAsia="zh-CN" w:bidi="ar"/>
              </w:rPr>
              <w:t>-0.96</w:t>
            </w:r>
          </w:p>
        </w:tc>
      </w:tr>
      <w:tr w14:paraId="4AB94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shd w:val="clear" w:color="auto" w:fill="auto"/>
            <w:vAlign w:val="top"/>
          </w:tcPr>
          <w:p w14:paraId="5FF0F839">
            <w:pPr>
              <w:keepLines w:val="0"/>
              <w:pageBreakBefore w:val="0"/>
              <w:wordWrap/>
              <w:overflowPunct/>
              <w:topLinePunct w:val="0"/>
              <w:bidi w:val="0"/>
              <w:spacing w:line="360" w:lineRule="auto"/>
              <w:rPr>
                <w:rFonts w:hint="eastAsia" w:ascii="Times New Roman" w:hAnsi="Times New Roman" w:eastAsia="宋体" w:cs="Times New Roman"/>
                <w:b w:val="0"/>
                <w:bCs w:val="0"/>
                <w:kern w:val="2"/>
                <w:sz w:val="21"/>
                <w:szCs w:val="21"/>
                <w:lang w:val="en-US" w:eastAsia="zh-CN" w:bidi="ar-SA"/>
              </w:rPr>
            </w:pPr>
            <w:r>
              <w:rPr>
                <w:rFonts w:ascii="Times New Roman" w:hAnsi="Times New Roman" w:eastAsia="宋体" w:cs="Times New Roman"/>
                <w:b w:val="0"/>
                <w:bCs w:val="0"/>
                <w:szCs w:val="21"/>
              </w:rPr>
              <w:t>（</w:t>
            </w:r>
            <w:r>
              <w:rPr>
                <w:rFonts w:hint="eastAsia" w:ascii="Times New Roman" w:hAnsi="Times New Roman" w:eastAsia="宋体" w:cs="Times New Roman"/>
                <w:b w:val="0"/>
                <w:bCs w:val="0"/>
                <w:szCs w:val="21"/>
                <w:lang w:val="en-US" w:eastAsia="zh-CN"/>
              </w:rPr>
              <w:t>19</w:t>
            </w:r>
            <w:r>
              <w:rPr>
                <w:rFonts w:ascii="Times New Roman" w:hAnsi="Times New Roman" w:eastAsia="宋体" w:cs="Times New Roman"/>
                <w:b w:val="0"/>
                <w:bCs w:val="0"/>
                <w:szCs w:val="21"/>
              </w:rPr>
              <w:t>）</w:t>
            </w:r>
          </w:p>
        </w:tc>
        <w:tc>
          <w:tcPr>
            <w:tcW w:w="1256" w:type="pct"/>
            <w:vAlign w:val="center"/>
          </w:tcPr>
          <w:p w14:paraId="3EF2FF32">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b w:val="0"/>
                <w:bCs w:val="0"/>
                <w:szCs w:val="21"/>
              </w:rPr>
            </w:pPr>
            <w:r>
              <w:rPr>
                <w:rFonts w:hint="eastAsia" w:ascii="宋体" w:hAnsi="宋体" w:eastAsia="宋体" w:cs="宋体"/>
                <w:b w:val="0"/>
                <w:bCs w:val="0"/>
                <w:i w:val="0"/>
                <w:iCs w:val="0"/>
                <w:color w:val="000000"/>
                <w:kern w:val="0"/>
                <w:sz w:val="24"/>
                <w:szCs w:val="24"/>
                <w:u w:val="none"/>
                <w:lang w:val="en-US" w:eastAsia="zh-CN" w:bidi="ar"/>
              </w:rPr>
              <w:t>山东三色</w:t>
            </w:r>
          </w:p>
        </w:tc>
        <w:tc>
          <w:tcPr>
            <w:tcW w:w="1064" w:type="pct"/>
            <w:vAlign w:val="center"/>
          </w:tcPr>
          <w:p w14:paraId="4BDC8201">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000000"/>
                <w:kern w:val="0"/>
                <w:sz w:val="24"/>
                <w:szCs w:val="24"/>
                <w:u w:val="none"/>
                <w:lang w:val="en-US" w:eastAsia="zh-CN" w:bidi="ar"/>
              </w:rPr>
              <w:t>27-7-7</w:t>
            </w:r>
          </w:p>
        </w:tc>
        <w:tc>
          <w:tcPr>
            <w:tcW w:w="842" w:type="pct"/>
            <w:shd w:val="clear" w:color="auto" w:fill="auto"/>
            <w:vAlign w:val="center"/>
          </w:tcPr>
          <w:p w14:paraId="78BD4F8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i w:val="0"/>
                <w:iCs w:val="0"/>
                <w:color w:val="000000"/>
                <w:kern w:val="0"/>
                <w:sz w:val="24"/>
                <w:szCs w:val="24"/>
                <w:u w:val="none"/>
                <w:lang w:val="en-US" w:eastAsia="zh-CN" w:bidi="ar"/>
              </w:rPr>
            </w:pPr>
            <w:r>
              <w:rPr>
                <w:rFonts w:hint="eastAsia" w:ascii="等线" w:hAnsi="等线" w:eastAsia="等线" w:cs="等线"/>
                <w:b w:val="0"/>
                <w:bCs w:val="0"/>
                <w:i w:val="0"/>
                <w:iCs w:val="0"/>
                <w:color w:val="000000"/>
                <w:kern w:val="0"/>
                <w:sz w:val="22"/>
                <w:szCs w:val="22"/>
                <w:u w:val="none"/>
                <w:lang w:val="en-US" w:eastAsia="zh-CN" w:bidi="ar"/>
              </w:rPr>
              <w:t xml:space="preserve">-1.44 </w:t>
            </w:r>
          </w:p>
        </w:tc>
        <w:tc>
          <w:tcPr>
            <w:tcW w:w="1153" w:type="pct"/>
            <w:vAlign w:val="center"/>
          </w:tcPr>
          <w:p w14:paraId="19E78F7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i w:val="0"/>
                <w:iCs w:val="0"/>
                <w:color w:val="auto"/>
                <w:kern w:val="0"/>
                <w:sz w:val="24"/>
                <w:szCs w:val="24"/>
                <w:u w:val="none"/>
                <w:lang w:val="en-US" w:eastAsia="zh-CN" w:bidi="ar"/>
              </w:rPr>
            </w:pPr>
            <w:r>
              <w:rPr>
                <w:rFonts w:hint="eastAsia" w:ascii="Times New Roman" w:hAnsi="Times New Roman" w:eastAsia="宋体" w:cs="Times New Roman"/>
                <w:b w:val="0"/>
                <w:bCs w:val="0"/>
                <w:i w:val="0"/>
                <w:iCs w:val="0"/>
                <w:color w:val="auto"/>
                <w:kern w:val="0"/>
                <w:sz w:val="24"/>
                <w:szCs w:val="24"/>
                <w:u w:val="none"/>
                <w:lang w:val="en-US" w:eastAsia="zh-CN" w:bidi="ar"/>
              </w:rPr>
              <w:t>-1.55</w:t>
            </w:r>
          </w:p>
        </w:tc>
      </w:tr>
      <w:tr w14:paraId="31F46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shd w:val="clear" w:color="auto" w:fill="auto"/>
            <w:vAlign w:val="top"/>
          </w:tcPr>
          <w:p w14:paraId="60BF23B9">
            <w:pPr>
              <w:keepLines w:val="0"/>
              <w:pageBreakBefore w:val="0"/>
              <w:wordWrap/>
              <w:overflowPunct/>
              <w:topLinePunct w:val="0"/>
              <w:bidi w:val="0"/>
              <w:spacing w:line="360" w:lineRule="auto"/>
              <w:rPr>
                <w:rFonts w:hint="eastAsia" w:ascii="Times New Roman" w:hAnsi="Times New Roman" w:eastAsia="宋体" w:cs="Times New Roman"/>
                <w:b w:val="0"/>
                <w:bCs w:val="0"/>
                <w:kern w:val="2"/>
                <w:sz w:val="21"/>
                <w:szCs w:val="21"/>
                <w:lang w:val="en-US" w:eastAsia="zh-CN" w:bidi="ar-SA"/>
              </w:rPr>
            </w:pPr>
            <w:r>
              <w:rPr>
                <w:rFonts w:ascii="Times New Roman" w:hAnsi="Times New Roman" w:eastAsia="宋体" w:cs="Times New Roman"/>
                <w:b w:val="0"/>
                <w:bCs w:val="0"/>
                <w:szCs w:val="21"/>
              </w:rPr>
              <w:t>（</w:t>
            </w:r>
            <w:r>
              <w:rPr>
                <w:rFonts w:hint="eastAsia" w:ascii="Times New Roman" w:hAnsi="Times New Roman" w:eastAsia="宋体" w:cs="Times New Roman"/>
                <w:b w:val="0"/>
                <w:bCs w:val="0"/>
                <w:szCs w:val="21"/>
                <w:lang w:val="en-US" w:eastAsia="zh-CN"/>
              </w:rPr>
              <w:t>20</w:t>
            </w:r>
            <w:r>
              <w:rPr>
                <w:rFonts w:ascii="Times New Roman" w:hAnsi="Times New Roman" w:eastAsia="宋体" w:cs="Times New Roman"/>
                <w:b w:val="0"/>
                <w:bCs w:val="0"/>
                <w:szCs w:val="21"/>
              </w:rPr>
              <w:t>）</w:t>
            </w:r>
          </w:p>
        </w:tc>
        <w:tc>
          <w:tcPr>
            <w:tcW w:w="1256" w:type="pct"/>
            <w:vAlign w:val="center"/>
          </w:tcPr>
          <w:p w14:paraId="1919E731">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b w:val="0"/>
                <w:bCs w:val="0"/>
                <w:szCs w:val="21"/>
              </w:rPr>
            </w:pPr>
            <w:r>
              <w:rPr>
                <w:rFonts w:hint="eastAsia" w:ascii="宋体" w:hAnsi="宋体" w:eastAsia="宋体" w:cs="宋体"/>
                <w:b w:val="0"/>
                <w:bCs w:val="0"/>
                <w:i w:val="0"/>
                <w:iCs w:val="0"/>
                <w:color w:val="000000"/>
                <w:kern w:val="0"/>
                <w:sz w:val="24"/>
                <w:szCs w:val="24"/>
                <w:u w:val="none"/>
                <w:lang w:val="en-US" w:eastAsia="zh-CN" w:bidi="ar"/>
              </w:rPr>
              <w:t>中科国投生物工程</w:t>
            </w:r>
          </w:p>
        </w:tc>
        <w:tc>
          <w:tcPr>
            <w:tcW w:w="1064" w:type="pct"/>
            <w:vAlign w:val="center"/>
          </w:tcPr>
          <w:p w14:paraId="2B7B1A73">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000000"/>
                <w:kern w:val="0"/>
                <w:sz w:val="24"/>
                <w:szCs w:val="24"/>
                <w:u w:val="none"/>
                <w:lang w:val="en-US" w:eastAsia="zh-CN" w:bidi="ar"/>
              </w:rPr>
              <w:t>26-10-12</w:t>
            </w:r>
          </w:p>
        </w:tc>
        <w:tc>
          <w:tcPr>
            <w:tcW w:w="842" w:type="pct"/>
            <w:shd w:val="clear" w:color="auto" w:fill="auto"/>
            <w:vAlign w:val="center"/>
          </w:tcPr>
          <w:p w14:paraId="53E2EFCC">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宋体" w:cs="Times New Roman"/>
                <w:b w:val="0"/>
                <w:bCs w:val="0"/>
                <w:i w:val="0"/>
                <w:iCs w:val="0"/>
                <w:color w:val="000000"/>
                <w:kern w:val="0"/>
                <w:sz w:val="24"/>
                <w:szCs w:val="24"/>
                <w:u w:val="none"/>
                <w:lang w:val="en-US" w:eastAsia="zh-CN" w:bidi="ar"/>
              </w:rPr>
            </w:pPr>
            <w:r>
              <w:rPr>
                <w:rFonts w:hint="eastAsia" w:ascii="等线" w:hAnsi="等线" w:eastAsia="等线" w:cs="等线"/>
                <w:b w:val="0"/>
                <w:bCs w:val="0"/>
                <w:i w:val="0"/>
                <w:iCs w:val="0"/>
                <w:color w:val="000000"/>
                <w:kern w:val="0"/>
                <w:sz w:val="22"/>
                <w:szCs w:val="22"/>
                <w:u w:val="none"/>
                <w:lang w:val="en-US" w:eastAsia="zh-CN" w:bidi="ar"/>
              </w:rPr>
              <w:t xml:space="preserve">-24.63 </w:t>
            </w:r>
          </w:p>
        </w:tc>
        <w:tc>
          <w:tcPr>
            <w:tcW w:w="1153" w:type="pct"/>
            <w:vAlign w:val="center"/>
          </w:tcPr>
          <w:p w14:paraId="73BDCD2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i w:val="0"/>
                <w:iCs w:val="0"/>
                <w:color w:val="auto"/>
                <w:kern w:val="0"/>
                <w:sz w:val="24"/>
                <w:szCs w:val="24"/>
                <w:u w:val="none"/>
                <w:lang w:val="en-US" w:eastAsia="zh-CN" w:bidi="ar"/>
              </w:rPr>
            </w:pPr>
            <w:r>
              <w:rPr>
                <w:rFonts w:hint="eastAsia" w:ascii="Times New Roman" w:hAnsi="Times New Roman" w:eastAsia="宋体" w:cs="Times New Roman"/>
                <w:b w:val="0"/>
                <w:bCs w:val="0"/>
                <w:i w:val="0"/>
                <w:iCs w:val="0"/>
                <w:color w:val="auto"/>
                <w:kern w:val="0"/>
                <w:sz w:val="24"/>
                <w:szCs w:val="24"/>
                <w:u w:val="none"/>
                <w:lang w:val="en-US" w:eastAsia="zh-CN" w:bidi="ar"/>
              </w:rPr>
              <w:t>4.81</w:t>
            </w:r>
          </w:p>
        </w:tc>
      </w:tr>
      <w:tr w14:paraId="60B92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shd w:val="clear" w:color="auto" w:fill="auto"/>
            <w:vAlign w:val="top"/>
          </w:tcPr>
          <w:p w14:paraId="1F5FE661">
            <w:pPr>
              <w:keepLines w:val="0"/>
              <w:pageBreakBefore w:val="0"/>
              <w:wordWrap/>
              <w:overflowPunct/>
              <w:topLinePunct w:val="0"/>
              <w:bidi w:val="0"/>
              <w:spacing w:line="360" w:lineRule="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szCs w:val="21"/>
              </w:rPr>
              <w:t>（</w:t>
            </w:r>
            <w:r>
              <w:rPr>
                <w:rFonts w:hint="eastAsia" w:ascii="Times New Roman" w:hAnsi="Times New Roman" w:eastAsia="宋体" w:cs="Times New Roman"/>
                <w:b w:val="0"/>
                <w:bCs w:val="0"/>
                <w:szCs w:val="21"/>
                <w:lang w:val="en-US" w:eastAsia="zh-CN"/>
              </w:rPr>
              <w:t>21</w:t>
            </w:r>
            <w:r>
              <w:rPr>
                <w:rFonts w:hint="eastAsia" w:ascii="Times New Roman" w:hAnsi="Times New Roman" w:eastAsia="宋体" w:cs="Times New Roman"/>
                <w:b w:val="0"/>
                <w:bCs w:val="0"/>
                <w:szCs w:val="21"/>
              </w:rPr>
              <w:t>）</w:t>
            </w:r>
          </w:p>
        </w:tc>
        <w:tc>
          <w:tcPr>
            <w:tcW w:w="1256" w:type="pct"/>
            <w:vAlign w:val="bottom"/>
          </w:tcPr>
          <w:p w14:paraId="1EA1E05A">
            <w:pPr>
              <w:keepNext w:val="0"/>
              <w:keepLines w:val="0"/>
              <w:pageBreakBefore w:val="0"/>
              <w:widowControl/>
              <w:suppressLineNumbers w:val="0"/>
              <w:wordWrap/>
              <w:overflowPunct/>
              <w:topLinePunct w:val="0"/>
              <w:bidi w:val="0"/>
              <w:spacing w:line="360" w:lineRule="auto"/>
              <w:jc w:val="center"/>
              <w:textAlignment w:val="bottom"/>
              <w:rPr>
                <w:rFonts w:hint="eastAsia" w:ascii="Times New Roman" w:hAnsi="Times New Roman" w:eastAsia="宋体" w:cs="Times New Roman"/>
                <w:b w:val="0"/>
                <w:bCs w:val="0"/>
                <w:szCs w:val="21"/>
              </w:rPr>
            </w:pPr>
            <w:r>
              <w:rPr>
                <w:rFonts w:hint="eastAsia" w:ascii="宋体" w:hAnsi="宋体" w:eastAsia="宋体" w:cs="宋体"/>
                <w:b w:val="0"/>
                <w:bCs w:val="0"/>
                <w:i w:val="0"/>
                <w:iCs w:val="0"/>
                <w:color w:val="000000"/>
                <w:kern w:val="0"/>
                <w:sz w:val="24"/>
                <w:szCs w:val="24"/>
                <w:u w:val="none"/>
                <w:lang w:val="en-US" w:eastAsia="zh-CN" w:bidi="ar"/>
              </w:rPr>
              <w:t>兰花尿素</w:t>
            </w:r>
          </w:p>
        </w:tc>
        <w:tc>
          <w:tcPr>
            <w:tcW w:w="1064" w:type="pct"/>
            <w:vAlign w:val="bottom"/>
          </w:tcPr>
          <w:p w14:paraId="2F6ADAED">
            <w:pPr>
              <w:keepLines w:val="0"/>
              <w:pageBreakBefore w:val="0"/>
              <w:wordWrap/>
              <w:overflowPunct/>
              <w:topLinePunct w:val="0"/>
              <w:bidi w:val="0"/>
              <w:spacing w:line="360" w:lineRule="auto"/>
              <w:rPr>
                <w:rFonts w:hint="eastAsia" w:ascii="Times New Roman" w:hAnsi="Times New Roman" w:eastAsia="宋体" w:cs="Times New Roman"/>
                <w:b w:val="0"/>
                <w:bCs w:val="0"/>
                <w:szCs w:val="21"/>
              </w:rPr>
            </w:pPr>
          </w:p>
        </w:tc>
        <w:tc>
          <w:tcPr>
            <w:tcW w:w="842" w:type="pct"/>
            <w:shd w:val="clear" w:color="auto" w:fill="auto"/>
            <w:vAlign w:val="center"/>
          </w:tcPr>
          <w:p w14:paraId="0859069B">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宋体" w:cs="Times New Roman"/>
                <w:b w:val="0"/>
                <w:bCs w:val="0"/>
                <w:kern w:val="2"/>
                <w:sz w:val="21"/>
                <w:szCs w:val="21"/>
                <w:lang w:val="en-US" w:eastAsia="zh-CN" w:bidi="ar-SA"/>
              </w:rPr>
            </w:pPr>
            <w:r>
              <w:rPr>
                <w:rFonts w:hint="eastAsia" w:ascii="等线" w:hAnsi="等线" w:eastAsia="等线" w:cs="等线"/>
                <w:b w:val="0"/>
                <w:bCs w:val="0"/>
                <w:i w:val="0"/>
                <w:iCs w:val="0"/>
                <w:color w:val="000000"/>
                <w:kern w:val="0"/>
                <w:sz w:val="22"/>
                <w:szCs w:val="22"/>
                <w:u w:val="none"/>
                <w:lang w:val="en-US" w:eastAsia="zh-CN" w:bidi="ar"/>
              </w:rPr>
              <w:t xml:space="preserve">5.28 </w:t>
            </w:r>
          </w:p>
        </w:tc>
        <w:tc>
          <w:tcPr>
            <w:tcW w:w="1153" w:type="pct"/>
            <w:vAlign w:val="center"/>
          </w:tcPr>
          <w:p w14:paraId="0362394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color w:val="auto"/>
                <w:szCs w:val="21"/>
                <w:lang w:val="en-US" w:eastAsia="zh-CN"/>
              </w:rPr>
            </w:pPr>
            <w:r>
              <w:rPr>
                <w:rFonts w:hint="eastAsia" w:ascii="Times New Roman" w:hAnsi="Times New Roman" w:eastAsia="宋体" w:cs="Times New Roman"/>
                <w:b w:val="0"/>
                <w:bCs w:val="0"/>
                <w:color w:val="auto"/>
                <w:szCs w:val="21"/>
                <w:lang w:val="en-US" w:eastAsia="zh-CN"/>
              </w:rPr>
              <w:t>12.61</w:t>
            </w:r>
          </w:p>
        </w:tc>
      </w:tr>
      <w:tr w14:paraId="2A1B9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pct"/>
            <w:shd w:val="clear" w:color="auto" w:fill="auto"/>
            <w:vAlign w:val="top"/>
          </w:tcPr>
          <w:p w14:paraId="68245CA7">
            <w:pPr>
              <w:keepLines w:val="0"/>
              <w:pageBreakBefore w:val="0"/>
              <w:wordWrap/>
              <w:overflowPunct/>
              <w:topLinePunct w:val="0"/>
              <w:bidi w:val="0"/>
              <w:spacing w:line="360" w:lineRule="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szCs w:val="21"/>
              </w:rPr>
              <w:t>（</w:t>
            </w:r>
            <w:r>
              <w:rPr>
                <w:rFonts w:hint="eastAsia" w:ascii="Times New Roman" w:hAnsi="Times New Roman" w:eastAsia="宋体" w:cs="Times New Roman"/>
                <w:b w:val="0"/>
                <w:bCs w:val="0"/>
                <w:szCs w:val="21"/>
                <w:lang w:val="en-US" w:eastAsia="zh-CN"/>
              </w:rPr>
              <w:t>22</w:t>
            </w:r>
            <w:r>
              <w:rPr>
                <w:rFonts w:hint="eastAsia" w:ascii="Times New Roman" w:hAnsi="Times New Roman" w:eastAsia="宋体" w:cs="Times New Roman"/>
                <w:b w:val="0"/>
                <w:bCs w:val="0"/>
                <w:szCs w:val="21"/>
              </w:rPr>
              <w:t>）</w:t>
            </w:r>
          </w:p>
        </w:tc>
        <w:tc>
          <w:tcPr>
            <w:tcW w:w="1256" w:type="pct"/>
            <w:vAlign w:val="center"/>
          </w:tcPr>
          <w:p w14:paraId="558C078D">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b w:val="0"/>
                <w:bCs w:val="0"/>
                <w:szCs w:val="21"/>
              </w:rPr>
            </w:pPr>
            <w:r>
              <w:rPr>
                <w:rFonts w:hint="eastAsia" w:ascii="宋体" w:hAnsi="宋体" w:eastAsia="宋体" w:cs="宋体"/>
                <w:b w:val="0"/>
                <w:bCs w:val="0"/>
                <w:i w:val="0"/>
                <w:iCs w:val="0"/>
                <w:color w:val="000000"/>
                <w:kern w:val="0"/>
                <w:sz w:val="24"/>
                <w:szCs w:val="24"/>
                <w:u w:val="none"/>
                <w:lang w:val="en-US" w:eastAsia="zh-CN" w:bidi="ar"/>
              </w:rPr>
              <w:t>兰花尿素</w:t>
            </w:r>
          </w:p>
        </w:tc>
        <w:tc>
          <w:tcPr>
            <w:tcW w:w="1064" w:type="pct"/>
            <w:vAlign w:val="bottom"/>
          </w:tcPr>
          <w:p w14:paraId="307922CF">
            <w:pPr>
              <w:keepLines w:val="0"/>
              <w:pageBreakBefore w:val="0"/>
              <w:wordWrap/>
              <w:overflowPunct/>
              <w:topLinePunct w:val="0"/>
              <w:bidi w:val="0"/>
              <w:spacing w:line="360" w:lineRule="auto"/>
              <w:rPr>
                <w:rFonts w:hint="eastAsia" w:ascii="Times New Roman" w:hAnsi="Times New Roman" w:eastAsia="宋体" w:cs="Times New Roman"/>
                <w:b w:val="0"/>
                <w:bCs w:val="0"/>
                <w:szCs w:val="21"/>
              </w:rPr>
            </w:pPr>
          </w:p>
        </w:tc>
        <w:tc>
          <w:tcPr>
            <w:tcW w:w="842" w:type="pct"/>
            <w:shd w:val="clear" w:color="auto" w:fill="auto"/>
            <w:vAlign w:val="center"/>
          </w:tcPr>
          <w:p w14:paraId="7FBFE9BD">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宋体" w:cs="Times New Roman"/>
                <w:b w:val="0"/>
                <w:bCs w:val="0"/>
                <w:kern w:val="2"/>
                <w:sz w:val="21"/>
                <w:szCs w:val="21"/>
                <w:lang w:val="en-US" w:eastAsia="zh-CN" w:bidi="ar-SA"/>
              </w:rPr>
            </w:pPr>
            <w:r>
              <w:rPr>
                <w:rFonts w:hint="eastAsia" w:ascii="等线" w:hAnsi="等线" w:eastAsia="等线" w:cs="等线"/>
                <w:b w:val="0"/>
                <w:bCs w:val="0"/>
                <w:i w:val="0"/>
                <w:iCs w:val="0"/>
                <w:color w:val="000000"/>
                <w:kern w:val="0"/>
                <w:sz w:val="22"/>
                <w:szCs w:val="22"/>
                <w:u w:val="none"/>
                <w:lang w:val="en-US" w:eastAsia="zh-CN" w:bidi="ar"/>
              </w:rPr>
              <w:t xml:space="preserve">6.68 </w:t>
            </w:r>
          </w:p>
        </w:tc>
        <w:tc>
          <w:tcPr>
            <w:tcW w:w="1153" w:type="pct"/>
            <w:vAlign w:val="center"/>
          </w:tcPr>
          <w:p w14:paraId="50E016D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b w:val="0"/>
                <w:bCs w:val="0"/>
                <w:color w:val="auto"/>
                <w:szCs w:val="21"/>
                <w:lang w:val="en-US" w:eastAsia="zh-CN"/>
              </w:rPr>
            </w:pPr>
            <w:r>
              <w:rPr>
                <w:rFonts w:hint="eastAsia" w:ascii="Times New Roman" w:hAnsi="Times New Roman" w:eastAsia="宋体" w:cs="Times New Roman"/>
                <w:b w:val="0"/>
                <w:bCs w:val="0"/>
                <w:color w:val="auto"/>
                <w:szCs w:val="21"/>
                <w:lang w:val="en-US" w:eastAsia="zh-CN"/>
              </w:rPr>
              <w:t>9.59</w:t>
            </w:r>
          </w:p>
        </w:tc>
      </w:tr>
    </w:tbl>
    <w:p w14:paraId="7DA79255">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3.4 小结</w:t>
      </w:r>
    </w:p>
    <w:p w14:paraId="2C8BF1C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配置的样品中是否添加膨润土以及增加氮添加量不会对肥料的土壤硝化潜势产生明显的影响。而显色温度、培养环境对肥料样品的土壤硝化潜势影响显著，低温显色和微厌氧培养环境显著提高显色效率，提高方法的准确率。另外，尽管对培养方法的参数进行了优化，优化后方法在检测企业生产稳定性肥料样品的硝化潜势差异率时，依旧出现硝化潜势差异率结果不理想的情况，该现象推测是因为对照肥料配比不准确导致，故下一步开展肥料样品中总氮、尿素等氮组分含量的测定。</w:t>
      </w:r>
    </w:p>
    <w:p w14:paraId="5D261E3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val="0"/>
          <w:sz w:val="24"/>
          <w:szCs w:val="24"/>
          <w:lang w:val="en-US" w:eastAsia="zh-CN"/>
        </w:rPr>
      </w:pPr>
      <w:r>
        <w:rPr>
          <w:rFonts w:hint="eastAsia" w:ascii="Times New Roman" w:hAnsi="Times New Roman" w:eastAsia="宋体" w:cs="Times New Roman"/>
          <w:b/>
          <w:bCs w:val="0"/>
          <w:sz w:val="24"/>
          <w:szCs w:val="24"/>
          <w:lang w:val="en-US" w:eastAsia="zh-CN"/>
        </w:rPr>
        <w:t>4、硝化潜势测定方法优化-氮组分含量测定</w:t>
      </w:r>
    </w:p>
    <w:p w14:paraId="390C83A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bCs/>
          <w:sz w:val="24"/>
          <w:szCs w:val="24"/>
          <w:lang w:val="en-US" w:eastAsia="zh-CN"/>
        </w:rPr>
        <w:t>基于1、2、3的试验结果和分析，</w:t>
      </w:r>
      <w:r>
        <w:rPr>
          <w:rFonts w:hint="eastAsia" w:ascii="Times New Roman" w:hAnsi="Times New Roman" w:eastAsia="宋体" w:cs="Times New Roman"/>
          <w:kern w:val="2"/>
          <w:sz w:val="24"/>
          <w:szCs w:val="24"/>
          <w:lang w:val="en-US" w:eastAsia="zh-CN" w:bidi="ar-SA"/>
        </w:rPr>
        <w:t>开展肥料样品中总氮、尿素、硝态氮、缩二脲和铵态氮这5种氮组分含量的测定，用于准确配制肥料样品的对照，进而优化</w:t>
      </w:r>
      <w:r>
        <w:rPr>
          <w:rFonts w:hint="eastAsia" w:ascii="Times New Roman" w:hAnsi="Times New Roman" w:eastAsia="宋体" w:cs="Times New Roman"/>
          <w:bCs/>
          <w:sz w:val="24"/>
          <w:szCs w:val="24"/>
          <w:lang w:val="en-US" w:eastAsia="zh-CN"/>
        </w:rPr>
        <w:t>土壤硝化潜势测定方法和结果。</w:t>
      </w:r>
    </w:p>
    <w:p w14:paraId="3DB93C4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4.1 材料与方法</w:t>
      </w:r>
    </w:p>
    <w:p w14:paraId="7699232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kern w:val="2"/>
          <w:sz w:val="24"/>
          <w:szCs w:val="24"/>
          <w:lang w:val="en-US" w:eastAsia="zh-CN" w:bidi="ar-SA"/>
        </w:rPr>
        <w:t>4.1.1</w:t>
      </w:r>
      <w:r>
        <w:rPr>
          <w:rFonts w:hint="eastAsia" w:ascii="Times New Roman" w:hAnsi="Times New Roman" w:eastAsia="宋体" w:cs="Times New Roman"/>
          <w:sz w:val="24"/>
          <w:szCs w:val="24"/>
          <w:lang w:val="en-US" w:eastAsia="zh-CN"/>
        </w:rPr>
        <w:t>供试肥料</w:t>
      </w:r>
    </w:p>
    <w:p w14:paraId="5242F15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2025年10月从企业收集48个肥料样品。具体信息见表9。</w:t>
      </w:r>
    </w:p>
    <w:p w14:paraId="43FBE02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jc w:val="center"/>
        <w:textAlignment w:val="auto"/>
        <w:rPr>
          <w:rFonts w:hint="eastAsia" w:ascii="Times New Roman" w:hAnsi="Times New Roman" w:eastAsia="宋体" w:cs="Times New Roman"/>
          <w:kern w:val="2"/>
          <w:sz w:val="22"/>
          <w:szCs w:val="22"/>
          <w:lang w:val="en-US" w:eastAsia="zh-CN" w:bidi="ar-SA"/>
        </w:rPr>
      </w:pPr>
      <w:r>
        <w:rPr>
          <w:rFonts w:hint="eastAsia" w:ascii="Times New Roman" w:hAnsi="Times New Roman" w:eastAsia="宋体" w:cs="Times New Roman"/>
          <w:b/>
          <w:bCs/>
          <w:szCs w:val="21"/>
          <w:lang w:val="en-US" w:eastAsia="zh-CN"/>
        </w:rPr>
        <w:t>表9 48个稳定性肥料样品信息</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
        <w:gridCol w:w="1891"/>
        <w:gridCol w:w="1337"/>
        <w:gridCol w:w="2003"/>
        <w:gridCol w:w="1558"/>
        <w:gridCol w:w="837"/>
      </w:tblGrid>
      <w:tr w14:paraId="4A8E5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24" w:type="pct"/>
          </w:tcPr>
          <w:p w14:paraId="304A84D8">
            <w:pPr>
              <w:keepLines w:val="0"/>
              <w:pageBreakBefore w:val="0"/>
              <w:wordWrap/>
              <w:overflowPunct/>
              <w:topLinePunct w:val="0"/>
              <w:bidi w:val="0"/>
              <w:spacing w:line="360" w:lineRule="auto"/>
              <w:rPr>
                <w:rFonts w:ascii="Times New Roman" w:hAnsi="Times New Roman" w:eastAsia="宋体" w:cs="Times New Roman"/>
                <w:sz w:val="21"/>
                <w:szCs w:val="21"/>
              </w:rPr>
            </w:pPr>
          </w:p>
        </w:tc>
        <w:tc>
          <w:tcPr>
            <w:tcW w:w="1109" w:type="pct"/>
            <w:vAlign w:val="center"/>
          </w:tcPr>
          <w:p w14:paraId="64D78DEA">
            <w:pPr>
              <w:keepNext w:val="0"/>
              <w:keepLines w:val="0"/>
              <w:pageBreakBefore w:val="0"/>
              <w:widowControl/>
              <w:suppressLineNumbers w:val="0"/>
              <w:wordWrap/>
              <w:overflowPunct/>
              <w:topLinePunct w:val="0"/>
              <w:bidi w:val="0"/>
              <w:spacing w:line="360" w:lineRule="auto"/>
              <w:jc w:val="center"/>
              <w:textAlignment w:val="center"/>
              <w:rPr>
                <w:rFonts w:ascii="Times New Roman" w:hAnsi="Times New Roman" w:eastAsia="宋体" w:cs="Times New Roman"/>
                <w:b/>
                <w:bCs/>
                <w:sz w:val="21"/>
                <w:szCs w:val="21"/>
              </w:rPr>
            </w:pPr>
            <w:r>
              <w:rPr>
                <w:rStyle w:val="14"/>
                <w:sz w:val="21"/>
                <w:szCs w:val="21"/>
                <w:lang w:val="en-US" w:eastAsia="zh-CN" w:bidi="ar"/>
              </w:rPr>
              <w:t>厂家</w:t>
            </w:r>
          </w:p>
        </w:tc>
        <w:tc>
          <w:tcPr>
            <w:tcW w:w="784" w:type="pct"/>
            <w:vAlign w:val="center"/>
          </w:tcPr>
          <w:p w14:paraId="487CA402">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b/>
                <w:bCs/>
                <w:sz w:val="21"/>
                <w:szCs w:val="21"/>
                <w:lang w:val="en-US" w:eastAsia="zh-CN"/>
              </w:rPr>
            </w:pPr>
            <w:r>
              <w:rPr>
                <w:rStyle w:val="14"/>
                <w:sz w:val="21"/>
                <w:szCs w:val="21"/>
                <w:lang w:val="en-US" w:eastAsia="zh-CN" w:bidi="ar"/>
              </w:rPr>
              <w:t>配方</w:t>
            </w:r>
          </w:p>
        </w:tc>
        <w:tc>
          <w:tcPr>
            <w:tcW w:w="1175" w:type="pct"/>
            <w:vAlign w:val="center"/>
          </w:tcPr>
          <w:p w14:paraId="0CFD9C77">
            <w:pPr>
              <w:keepNext w:val="0"/>
              <w:keepLines w:val="0"/>
              <w:pageBreakBefore w:val="0"/>
              <w:widowControl/>
              <w:suppressLineNumbers w:val="0"/>
              <w:wordWrap/>
              <w:overflowPunct/>
              <w:topLinePunct w:val="0"/>
              <w:bidi w:val="0"/>
              <w:spacing w:line="360" w:lineRule="auto"/>
              <w:jc w:val="left"/>
              <w:textAlignment w:val="center"/>
              <w:rPr>
                <w:rStyle w:val="14"/>
                <w:rFonts w:hint="eastAsia"/>
                <w:sz w:val="21"/>
                <w:szCs w:val="21"/>
                <w:lang w:val="en-US" w:eastAsia="zh-CN" w:bidi="ar"/>
              </w:rPr>
            </w:pPr>
            <w:r>
              <w:rPr>
                <w:rFonts w:hint="eastAsia" w:ascii="宋体" w:hAnsi="宋体" w:eastAsia="宋体" w:cs="宋体"/>
                <w:i w:val="0"/>
                <w:iCs w:val="0"/>
                <w:color w:val="000000"/>
                <w:kern w:val="0"/>
                <w:sz w:val="21"/>
                <w:szCs w:val="21"/>
                <w:u w:val="none"/>
                <w:lang w:val="en-US" w:eastAsia="zh-CN" w:bidi="ar"/>
              </w:rPr>
              <w:t>备注1</w:t>
            </w:r>
          </w:p>
        </w:tc>
        <w:tc>
          <w:tcPr>
            <w:tcW w:w="914" w:type="pct"/>
            <w:vAlign w:val="center"/>
          </w:tcPr>
          <w:p w14:paraId="6ECC3422">
            <w:pPr>
              <w:keepNext w:val="0"/>
              <w:keepLines w:val="0"/>
              <w:pageBreakBefore w:val="0"/>
              <w:widowControl/>
              <w:suppressLineNumbers w:val="0"/>
              <w:wordWrap/>
              <w:overflowPunct/>
              <w:topLinePunct w:val="0"/>
              <w:bidi w:val="0"/>
              <w:spacing w:line="360" w:lineRule="auto"/>
              <w:jc w:val="left"/>
              <w:textAlignment w:val="center"/>
              <w:rPr>
                <w:rStyle w:val="14"/>
                <w:rFonts w:hint="eastAsia"/>
                <w:sz w:val="21"/>
                <w:szCs w:val="21"/>
                <w:lang w:val="en-US" w:eastAsia="zh-CN" w:bidi="ar"/>
              </w:rPr>
            </w:pPr>
            <w:r>
              <w:rPr>
                <w:rFonts w:hint="eastAsia" w:ascii="宋体" w:hAnsi="宋体" w:eastAsia="宋体" w:cs="宋体"/>
                <w:i w:val="0"/>
                <w:iCs w:val="0"/>
                <w:color w:val="000000"/>
                <w:kern w:val="0"/>
                <w:sz w:val="21"/>
                <w:szCs w:val="21"/>
                <w:u w:val="none"/>
                <w:lang w:val="en-US" w:eastAsia="zh-CN" w:bidi="ar"/>
              </w:rPr>
              <w:t>备注2</w:t>
            </w:r>
          </w:p>
        </w:tc>
        <w:tc>
          <w:tcPr>
            <w:tcW w:w="491" w:type="pct"/>
            <w:vAlign w:val="center"/>
          </w:tcPr>
          <w:p w14:paraId="0919F0E3">
            <w:pPr>
              <w:keepNext w:val="0"/>
              <w:keepLines w:val="0"/>
              <w:pageBreakBefore w:val="0"/>
              <w:widowControl/>
              <w:suppressLineNumbers w:val="0"/>
              <w:wordWrap/>
              <w:overflowPunct/>
              <w:topLinePunct w:val="0"/>
              <w:bidi w:val="0"/>
              <w:spacing w:line="360" w:lineRule="auto"/>
              <w:jc w:val="left"/>
              <w:textAlignment w:val="center"/>
              <w:rPr>
                <w:rStyle w:val="14"/>
                <w:rFonts w:hint="eastAsia"/>
                <w:sz w:val="21"/>
                <w:szCs w:val="21"/>
                <w:lang w:val="en-US" w:eastAsia="zh-CN" w:bidi="ar"/>
              </w:rPr>
            </w:pPr>
            <w:r>
              <w:rPr>
                <w:rFonts w:hint="eastAsia" w:ascii="宋体" w:hAnsi="宋体" w:eastAsia="宋体" w:cs="宋体"/>
                <w:i w:val="0"/>
                <w:iCs w:val="0"/>
                <w:color w:val="000000"/>
                <w:kern w:val="0"/>
                <w:sz w:val="21"/>
                <w:szCs w:val="21"/>
                <w:u w:val="none"/>
                <w:lang w:val="en-US" w:eastAsia="zh-CN" w:bidi="ar"/>
              </w:rPr>
              <w:t>备注3</w:t>
            </w:r>
          </w:p>
        </w:tc>
      </w:tr>
      <w:tr w14:paraId="654EC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tcPr>
          <w:p w14:paraId="1B40540F">
            <w:pPr>
              <w:keepLines w:val="0"/>
              <w:pageBreakBefore w:val="0"/>
              <w:wordWrap/>
              <w:overflowPunct/>
              <w:topLinePunct w:val="0"/>
              <w:bidi w:val="0"/>
              <w:spacing w:line="360" w:lineRule="auto"/>
              <w:rPr>
                <w:rFonts w:ascii="Times New Roman" w:hAnsi="Times New Roman" w:eastAsia="宋体" w:cs="Times New Roman"/>
                <w:sz w:val="21"/>
                <w:szCs w:val="21"/>
              </w:rPr>
            </w:pPr>
            <w:r>
              <w:rPr>
                <w:rFonts w:ascii="Times New Roman" w:hAnsi="Times New Roman" w:eastAsia="宋体" w:cs="Times New Roman"/>
                <w:sz w:val="21"/>
                <w:szCs w:val="21"/>
              </w:rPr>
              <w:t>（1）</w:t>
            </w:r>
          </w:p>
        </w:tc>
        <w:tc>
          <w:tcPr>
            <w:tcW w:w="1109" w:type="pct"/>
            <w:vAlign w:val="center"/>
          </w:tcPr>
          <w:p w14:paraId="37C5E989">
            <w:pPr>
              <w:keepNext w:val="0"/>
              <w:keepLines w:val="0"/>
              <w:pageBreakBefore w:val="0"/>
              <w:widowControl/>
              <w:suppressLineNumbers w:val="0"/>
              <w:wordWrap/>
              <w:overflowPunct/>
              <w:topLinePunct w:val="0"/>
              <w:bidi w:val="0"/>
              <w:spacing w:line="360" w:lineRule="auto"/>
              <w:jc w:val="left"/>
              <w:textAlignment w:val="center"/>
              <w:rPr>
                <w:rFonts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沧州德胜</w:t>
            </w:r>
          </w:p>
        </w:tc>
        <w:tc>
          <w:tcPr>
            <w:tcW w:w="784" w:type="pct"/>
            <w:vAlign w:val="center"/>
          </w:tcPr>
          <w:p w14:paraId="0C547B9D">
            <w:pPr>
              <w:keepNext w:val="0"/>
              <w:keepLines w:val="0"/>
              <w:pageBreakBefore w:val="0"/>
              <w:widowControl/>
              <w:suppressLineNumbers w:val="0"/>
              <w:wordWrap/>
              <w:overflowPunct/>
              <w:topLinePunct w:val="0"/>
              <w:bidi w:val="0"/>
              <w:spacing w:line="360" w:lineRule="auto"/>
              <w:jc w:val="left"/>
              <w:textAlignment w:val="center"/>
              <w:rPr>
                <w:rFonts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26-10-12</w:t>
            </w:r>
          </w:p>
        </w:tc>
        <w:tc>
          <w:tcPr>
            <w:tcW w:w="1175" w:type="pct"/>
            <w:vAlign w:val="center"/>
          </w:tcPr>
          <w:p w14:paraId="01A8CCB6">
            <w:pPr>
              <w:keepLines w:val="0"/>
              <w:pageBreakBefore w:val="0"/>
              <w:wordWrap/>
              <w:overflowPunct/>
              <w:topLinePunct w:val="0"/>
              <w:bidi w:val="0"/>
              <w:spacing w:line="360" w:lineRule="auto"/>
              <w:rPr>
                <w:rFonts w:hint="default" w:ascii="Times New Roman" w:hAnsi="Times New Roman" w:eastAsia="宋体" w:cs="Times New Roman"/>
                <w:i w:val="0"/>
                <w:iCs w:val="0"/>
                <w:color w:val="000000"/>
                <w:kern w:val="0"/>
                <w:sz w:val="21"/>
                <w:szCs w:val="21"/>
                <w:u w:val="none"/>
                <w:lang w:val="en-US" w:eastAsia="zh-CN" w:bidi="ar"/>
              </w:rPr>
            </w:pPr>
          </w:p>
        </w:tc>
        <w:tc>
          <w:tcPr>
            <w:tcW w:w="914" w:type="pct"/>
            <w:vAlign w:val="center"/>
          </w:tcPr>
          <w:p w14:paraId="0AF77817">
            <w:pPr>
              <w:keepLines w:val="0"/>
              <w:pageBreakBefore w:val="0"/>
              <w:wordWrap/>
              <w:overflowPunct/>
              <w:topLinePunct w:val="0"/>
              <w:bidi w:val="0"/>
              <w:spacing w:line="360" w:lineRule="auto"/>
              <w:rPr>
                <w:rFonts w:hint="default" w:ascii="Times New Roman" w:hAnsi="Times New Roman" w:eastAsia="宋体" w:cs="Times New Roman"/>
                <w:i w:val="0"/>
                <w:iCs w:val="0"/>
                <w:color w:val="000000"/>
                <w:kern w:val="0"/>
                <w:sz w:val="21"/>
                <w:szCs w:val="21"/>
                <w:u w:val="none"/>
                <w:lang w:val="en-US" w:eastAsia="zh-CN" w:bidi="ar"/>
              </w:rPr>
            </w:pPr>
          </w:p>
        </w:tc>
        <w:tc>
          <w:tcPr>
            <w:tcW w:w="491" w:type="pct"/>
            <w:vAlign w:val="center"/>
          </w:tcPr>
          <w:p w14:paraId="005BC48B">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黄色</w:t>
            </w:r>
          </w:p>
        </w:tc>
      </w:tr>
      <w:tr w14:paraId="17F82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tcPr>
          <w:p w14:paraId="7C137012">
            <w:pPr>
              <w:keepLines w:val="0"/>
              <w:pageBreakBefore w:val="0"/>
              <w:wordWrap/>
              <w:overflowPunct/>
              <w:topLinePunct w:val="0"/>
              <w:bidi w:val="0"/>
              <w:spacing w:line="360" w:lineRule="auto"/>
              <w:rPr>
                <w:rFonts w:ascii="Times New Roman" w:hAnsi="Times New Roman" w:eastAsia="宋体" w:cs="Times New Roman"/>
                <w:sz w:val="21"/>
                <w:szCs w:val="21"/>
              </w:rPr>
            </w:pPr>
            <w:r>
              <w:rPr>
                <w:rFonts w:ascii="Times New Roman" w:hAnsi="Times New Roman" w:eastAsia="宋体" w:cs="Times New Roman"/>
                <w:sz w:val="21"/>
                <w:szCs w:val="21"/>
              </w:rPr>
              <w:t>（2）</w:t>
            </w:r>
          </w:p>
        </w:tc>
        <w:tc>
          <w:tcPr>
            <w:tcW w:w="1109" w:type="pct"/>
            <w:vAlign w:val="center"/>
          </w:tcPr>
          <w:p w14:paraId="031E8E41">
            <w:pPr>
              <w:keepNext w:val="0"/>
              <w:keepLines w:val="0"/>
              <w:pageBreakBefore w:val="0"/>
              <w:widowControl/>
              <w:suppressLineNumbers w:val="0"/>
              <w:wordWrap/>
              <w:overflowPunct/>
              <w:topLinePunct w:val="0"/>
              <w:bidi w:val="0"/>
              <w:spacing w:line="360" w:lineRule="auto"/>
              <w:jc w:val="left"/>
              <w:textAlignment w:val="center"/>
              <w:rPr>
                <w:rFonts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东北丰</w:t>
            </w:r>
          </w:p>
        </w:tc>
        <w:tc>
          <w:tcPr>
            <w:tcW w:w="784" w:type="pct"/>
            <w:vAlign w:val="center"/>
          </w:tcPr>
          <w:p w14:paraId="38ADFB71">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26-11-11</w:t>
            </w:r>
          </w:p>
        </w:tc>
        <w:tc>
          <w:tcPr>
            <w:tcW w:w="1175" w:type="pct"/>
            <w:vAlign w:val="center"/>
          </w:tcPr>
          <w:p w14:paraId="030AEE38">
            <w:pPr>
              <w:keepLines w:val="0"/>
              <w:pageBreakBefore w:val="0"/>
              <w:wordWrap/>
              <w:overflowPunct/>
              <w:topLinePunct w:val="0"/>
              <w:bidi w:val="0"/>
              <w:spacing w:line="360" w:lineRule="auto"/>
              <w:rPr>
                <w:rFonts w:hint="default" w:ascii="Times New Roman" w:hAnsi="Times New Roman" w:eastAsia="宋体" w:cs="Times New Roman"/>
                <w:i w:val="0"/>
                <w:iCs w:val="0"/>
                <w:color w:val="000000"/>
                <w:kern w:val="0"/>
                <w:sz w:val="21"/>
                <w:szCs w:val="21"/>
                <w:u w:val="none"/>
                <w:lang w:val="en-US" w:eastAsia="zh-CN" w:bidi="ar"/>
              </w:rPr>
            </w:pPr>
          </w:p>
        </w:tc>
        <w:tc>
          <w:tcPr>
            <w:tcW w:w="914" w:type="pct"/>
            <w:vAlign w:val="center"/>
          </w:tcPr>
          <w:p w14:paraId="7129357D">
            <w:pPr>
              <w:keepLines w:val="0"/>
              <w:pageBreakBefore w:val="0"/>
              <w:wordWrap/>
              <w:overflowPunct/>
              <w:topLinePunct w:val="0"/>
              <w:bidi w:val="0"/>
              <w:spacing w:line="360" w:lineRule="auto"/>
              <w:rPr>
                <w:rFonts w:hint="default" w:ascii="Times New Roman" w:hAnsi="Times New Roman" w:eastAsia="宋体" w:cs="Times New Roman"/>
                <w:i w:val="0"/>
                <w:iCs w:val="0"/>
                <w:color w:val="000000"/>
                <w:kern w:val="0"/>
                <w:sz w:val="21"/>
                <w:szCs w:val="21"/>
                <w:u w:val="none"/>
                <w:lang w:val="en-US" w:eastAsia="zh-CN" w:bidi="ar"/>
              </w:rPr>
            </w:pPr>
          </w:p>
        </w:tc>
        <w:tc>
          <w:tcPr>
            <w:tcW w:w="491" w:type="pct"/>
            <w:vAlign w:val="center"/>
          </w:tcPr>
          <w:p w14:paraId="1E6076C9">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黄色</w:t>
            </w:r>
          </w:p>
        </w:tc>
      </w:tr>
      <w:tr w14:paraId="6E33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45D2C2C9">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（3）</w:t>
            </w:r>
          </w:p>
        </w:tc>
        <w:tc>
          <w:tcPr>
            <w:tcW w:w="1109" w:type="pct"/>
            <w:shd w:val="clear" w:color="auto" w:fill="auto"/>
            <w:vAlign w:val="center"/>
          </w:tcPr>
          <w:p w14:paraId="143307CA">
            <w:pPr>
              <w:keepNext w:val="0"/>
              <w:keepLines w:val="0"/>
              <w:pageBreakBefore w:val="0"/>
              <w:widowControl/>
              <w:suppressLineNumbers w:val="0"/>
              <w:wordWrap/>
              <w:overflowPunct/>
              <w:topLinePunct w:val="0"/>
              <w:bidi w:val="0"/>
              <w:spacing w:line="360" w:lineRule="auto"/>
              <w:jc w:val="left"/>
              <w:textAlignment w:val="center"/>
              <w:rPr>
                <w:rFonts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津旺</w:t>
            </w:r>
          </w:p>
        </w:tc>
        <w:tc>
          <w:tcPr>
            <w:tcW w:w="784" w:type="pct"/>
            <w:vAlign w:val="center"/>
          </w:tcPr>
          <w:p w14:paraId="50EF6049">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25-10-10</w:t>
            </w:r>
          </w:p>
        </w:tc>
        <w:tc>
          <w:tcPr>
            <w:tcW w:w="1175" w:type="pct"/>
            <w:vAlign w:val="center"/>
          </w:tcPr>
          <w:p w14:paraId="5C929506">
            <w:pPr>
              <w:keepLines w:val="0"/>
              <w:pageBreakBefore w:val="0"/>
              <w:wordWrap/>
              <w:overflowPunct/>
              <w:topLinePunct w:val="0"/>
              <w:bidi w:val="0"/>
              <w:spacing w:line="360" w:lineRule="auto"/>
              <w:rPr>
                <w:rFonts w:hint="default" w:ascii="Times New Roman" w:hAnsi="Times New Roman" w:eastAsia="宋体" w:cs="Times New Roman"/>
                <w:i w:val="0"/>
                <w:iCs w:val="0"/>
                <w:color w:val="000000"/>
                <w:kern w:val="0"/>
                <w:sz w:val="21"/>
                <w:szCs w:val="21"/>
                <w:u w:val="none"/>
                <w:lang w:val="en-US" w:eastAsia="zh-CN" w:bidi="ar"/>
              </w:rPr>
            </w:pPr>
          </w:p>
        </w:tc>
        <w:tc>
          <w:tcPr>
            <w:tcW w:w="914" w:type="pct"/>
            <w:vAlign w:val="center"/>
          </w:tcPr>
          <w:p w14:paraId="3AF36D7D">
            <w:pPr>
              <w:keepLines w:val="0"/>
              <w:pageBreakBefore w:val="0"/>
              <w:wordWrap/>
              <w:overflowPunct/>
              <w:topLinePunct w:val="0"/>
              <w:bidi w:val="0"/>
              <w:spacing w:line="360" w:lineRule="auto"/>
              <w:rPr>
                <w:rFonts w:hint="default" w:ascii="Times New Roman" w:hAnsi="Times New Roman" w:eastAsia="宋体" w:cs="Times New Roman"/>
                <w:i w:val="0"/>
                <w:iCs w:val="0"/>
                <w:color w:val="000000"/>
                <w:kern w:val="0"/>
                <w:sz w:val="21"/>
                <w:szCs w:val="21"/>
                <w:u w:val="none"/>
                <w:lang w:val="en-US" w:eastAsia="zh-CN" w:bidi="ar"/>
              </w:rPr>
            </w:pPr>
          </w:p>
        </w:tc>
        <w:tc>
          <w:tcPr>
            <w:tcW w:w="491" w:type="pct"/>
            <w:vAlign w:val="center"/>
          </w:tcPr>
          <w:p w14:paraId="4A1C000C">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黄色</w:t>
            </w:r>
          </w:p>
        </w:tc>
      </w:tr>
      <w:tr w14:paraId="33549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27117DBA">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（4）</w:t>
            </w:r>
          </w:p>
        </w:tc>
        <w:tc>
          <w:tcPr>
            <w:tcW w:w="1109" w:type="pct"/>
            <w:shd w:val="clear" w:color="auto" w:fill="auto"/>
            <w:vAlign w:val="center"/>
          </w:tcPr>
          <w:p w14:paraId="69CF4FDA">
            <w:pPr>
              <w:keepNext w:val="0"/>
              <w:keepLines w:val="0"/>
              <w:pageBreakBefore w:val="0"/>
              <w:widowControl/>
              <w:suppressLineNumbers w:val="0"/>
              <w:wordWrap/>
              <w:overflowPunct/>
              <w:topLinePunct w:val="0"/>
              <w:bidi w:val="0"/>
              <w:spacing w:line="360" w:lineRule="auto"/>
              <w:jc w:val="left"/>
              <w:textAlignment w:val="center"/>
              <w:rPr>
                <w:rFonts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波普克</w:t>
            </w:r>
          </w:p>
        </w:tc>
        <w:tc>
          <w:tcPr>
            <w:tcW w:w="784" w:type="pct"/>
            <w:vAlign w:val="center"/>
          </w:tcPr>
          <w:p w14:paraId="7890933F">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sz w:val="21"/>
                <w:szCs w:val="21"/>
                <w:lang w:val="en-US" w:eastAsia="zh-CN"/>
              </w:rPr>
            </w:pPr>
            <w:r>
              <w:rPr>
                <w:rFonts w:hint="eastAsia" w:ascii="宋体" w:hAnsi="宋体" w:eastAsia="宋体" w:cs="宋体"/>
                <w:i w:val="0"/>
                <w:iCs w:val="0"/>
                <w:color w:val="000000"/>
                <w:kern w:val="0"/>
                <w:sz w:val="21"/>
                <w:szCs w:val="21"/>
                <w:u w:val="none"/>
                <w:lang w:val="en-US" w:eastAsia="zh-CN" w:bidi="ar"/>
              </w:rPr>
              <w:t>26-10-12</w:t>
            </w:r>
          </w:p>
        </w:tc>
        <w:tc>
          <w:tcPr>
            <w:tcW w:w="1175" w:type="pct"/>
            <w:vAlign w:val="center"/>
          </w:tcPr>
          <w:p w14:paraId="07A7D2B8">
            <w:pPr>
              <w:keepLines w:val="0"/>
              <w:pageBreakBefore w:val="0"/>
              <w:wordWrap/>
              <w:overflowPunct/>
              <w:topLinePunct w:val="0"/>
              <w:bidi w:val="0"/>
              <w:spacing w:line="360" w:lineRule="auto"/>
              <w:rPr>
                <w:rFonts w:hint="default" w:ascii="Times New Roman" w:hAnsi="Times New Roman" w:eastAsia="宋体" w:cs="Times New Roman"/>
                <w:i w:val="0"/>
                <w:iCs w:val="0"/>
                <w:color w:val="000000"/>
                <w:kern w:val="0"/>
                <w:sz w:val="21"/>
                <w:szCs w:val="21"/>
                <w:u w:val="none"/>
                <w:lang w:val="en-US" w:eastAsia="zh-CN" w:bidi="ar"/>
              </w:rPr>
            </w:pPr>
          </w:p>
        </w:tc>
        <w:tc>
          <w:tcPr>
            <w:tcW w:w="914" w:type="pct"/>
            <w:vAlign w:val="center"/>
          </w:tcPr>
          <w:p w14:paraId="01DB3479">
            <w:pPr>
              <w:keepLines w:val="0"/>
              <w:pageBreakBefore w:val="0"/>
              <w:wordWrap/>
              <w:overflowPunct/>
              <w:topLinePunct w:val="0"/>
              <w:bidi w:val="0"/>
              <w:spacing w:line="360" w:lineRule="auto"/>
              <w:rPr>
                <w:rFonts w:hint="default" w:ascii="Times New Roman" w:hAnsi="Times New Roman" w:eastAsia="宋体" w:cs="Times New Roman"/>
                <w:i w:val="0"/>
                <w:iCs w:val="0"/>
                <w:color w:val="000000"/>
                <w:kern w:val="0"/>
                <w:sz w:val="21"/>
                <w:szCs w:val="21"/>
                <w:u w:val="none"/>
                <w:lang w:val="en-US" w:eastAsia="zh-CN" w:bidi="ar"/>
              </w:rPr>
            </w:pPr>
          </w:p>
        </w:tc>
        <w:tc>
          <w:tcPr>
            <w:tcW w:w="491" w:type="pct"/>
            <w:vAlign w:val="center"/>
          </w:tcPr>
          <w:p w14:paraId="64718259">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黄色</w:t>
            </w:r>
          </w:p>
        </w:tc>
      </w:tr>
      <w:tr w14:paraId="5406C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090209A9">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（5）</w:t>
            </w:r>
          </w:p>
        </w:tc>
        <w:tc>
          <w:tcPr>
            <w:tcW w:w="1109" w:type="pct"/>
            <w:vAlign w:val="center"/>
          </w:tcPr>
          <w:p w14:paraId="3C28B4D9">
            <w:pPr>
              <w:keepNext w:val="0"/>
              <w:keepLines w:val="0"/>
              <w:pageBreakBefore w:val="0"/>
              <w:widowControl/>
              <w:suppressLineNumbers w:val="0"/>
              <w:wordWrap/>
              <w:overflowPunct/>
              <w:topLinePunct w:val="0"/>
              <w:bidi w:val="0"/>
              <w:spacing w:line="360" w:lineRule="auto"/>
              <w:jc w:val="left"/>
              <w:textAlignment w:val="center"/>
              <w:rPr>
                <w:rFonts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吉林辽源</w:t>
            </w:r>
          </w:p>
        </w:tc>
        <w:tc>
          <w:tcPr>
            <w:tcW w:w="784" w:type="pct"/>
            <w:vAlign w:val="center"/>
          </w:tcPr>
          <w:p w14:paraId="73DC6881">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sz w:val="21"/>
                <w:szCs w:val="21"/>
                <w:lang w:val="en-US" w:eastAsia="zh-CN"/>
              </w:rPr>
            </w:pPr>
            <w:r>
              <w:rPr>
                <w:rFonts w:hint="eastAsia" w:ascii="宋体" w:hAnsi="宋体" w:eastAsia="宋体" w:cs="宋体"/>
                <w:i w:val="0"/>
                <w:iCs w:val="0"/>
                <w:color w:val="000000"/>
                <w:kern w:val="0"/>
                <w:sz w:val="21"/>
                <w:szCs w:val="21"/>
                <w:u w:val="none"/>
                <w:lang w:val="en-US" w:eastAsia="zh-CN" w:bidi="ar"/>
              </w:rPr>
              <w:t>26-10-12</w:t>
            </w:r>
          </w:p>
        </w:tc>
        <w:tc>
          <w:tcPr>
            <w:tcW w:w="1175" w:type="pct"/>
            <w:vAlign w:val="center"/>
          </w:tcPr>
          <w:p w14:paraId="046D5A1C">
            <w:pPr>
              <w:keepLines w:val="0"/>
              <w:pageBreakBefore w:val="0"/>
              <w:wordWrap/>
              <w:overflowPunct/>
              <w:topLinePunct w:val="0"/>
              <w:bidi w:val="0"/>
              <w:spacing w:line="360" w:lineRule="auto"/>
              <w:rPr>
                <w:rFonts w:hint="default" w:ascii="Times New Roman" w:hAnsi="Times New Roman" w:eastAsia="宋体" w:cs="Times New Roman"/>
                <w:i w:val="0"/>
                <w:iCs w:val="0"/>
                <w:color w:val="000000"/>
                <w:kern w:val="0"/>
                <w:sz w:val="21"/>
                <w:szCs w:val="21"/>
                <w:u w:val="none"/>
                <w:lang w:val="en-US" w:eastAsia="zh-CN" w:bidi="ar"/>
              </w:rPr>
            </w:pPr>
          </w:p>
        </w:tc>
        <w:tc>
          <w:tcPr>
            <w:tcW w:w="914" w:type="pct"/>
            <w:vAlign w:val="center"/>
          </w:tcPr>
          <w:p w14:paraId="1EBC73B0">
            <w:pPr>
              <w:keepLines w:val="0"/>
              <w:pageBreakBefore w:val="0"/>
              <w:wordWrap/>
              <w:overflowPunct/>
              <w:topLinePunct w:val="0"/>
              <w:bidi w:val="0"/>
              <w:spacing w:line="360" w:lineRule="auto"/>
              <w:rPr>
                <w:rFonts w:hint="default" w:ascii="Times New Roman" w:hAnsi="Times New Roman" w:eastAsia="宋体" w:cs="Times New Roman"/>
                <w:i w:val="0"/>
                <w:iCs w:val="0"/>
                <w:color w:val="000000"/>
                <w:kern w:val="0"/>
                <w:sz w:val="21"/>
                <w:szCs w:val="21"/>
                <w:u w:val="none"/>
                <w:lang w:val="en-US" w:eastAsia="zh-CN" w:bidi="ar"/>
              </w:rPr>
            </w:pPr>
          </w:p>
        </w:tc>
        <w:tc>
          <w:tcPr>
            <w:tcW w:w="491" w:type="pct"/>
            <w:vAlign w:val="center"/>
          </w:tcPr>
          <w:p w14:paraId="31AC0441">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黄色</w:t>
            </w:r>
          </w:p>
        </w:tc>
      </w:tr>
      <w:tr w14:paraId="439A3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24628AB0">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（6）</w:t>
            </w:r>
          </w:p>
        </w:tc>
        <w:tc>
          <w:tcPr>
            <w:tcW w:w="1109" w:type="pct"/>
            <w:vAlign w:val="center"/>
          </w:tcPr>
          <w:p w14:paraId="1CCE8F0E">
            <w:pPr>
              <w:keepNext w:val="0"/>
              <w:keepLines w:val="0"/>
              <w:pageBreakBefore w:val="0"/>
              <w:widowControl/>
              <w:suppressLineNumbers w:val="0"/>
              <w:wordWrap/>
              <w:overflowPunct/>
              <w:topLinePunct w:val="0"/>
              <w:bidi w:val="0"/>
              <w:spacing w:line="360" w:lineRule="auto"/>
              <w:jc w:val="left"/>
              <w:textAlignment w:val="center"/>
              <w:rPr>
                <w:rFonts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艾克斯</w:t>
            </w:r>
          </w:p>
        </w:tc>
        <w:tc>
          <w:tcPr>
            <w:tcW w:w="784" w:type="pct"/>
            <w:vAlign w:val="center"/>
          </w:tcPr>
          <w:p w14:paraId="06727B38">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sz w:val="21"/>
                <w:szCs w:val="21"/>
                <w:lang w:val="en-US" w:eastAsia="zh-CN"/>
              </w:rPr>
            </w:pPr>
            <w:r>
              <w:rPr>
                <w:rFonts w:hint="eastAsia" w:ascii="宋体" w:hAnsi="宋体" w:eastAsia="宋体" w:cs="宋体"/>
                <w:i w:val="0"/>
                <w:iCs w:val="0"/>
                <w:color w:val="000000"/>
                <w:kern w:val="0"/>
                <w:sz w:val="21"/>
                <w:szCs w:val="21"/>
                <w:u w:val="none"/>
                <w:lang w:val="en-US" w:eastAsia="zh-CN" w:bidi="ar"/>
              </w:rPr>
              <w:t>26-11-11</w:t>
            </w:r>
          </w:p>
        </w:tc>
        <w:tc>
          <w:tcPr>
            <w:tcW w:w="1175" w:type="pct"/>
            <w:vAlign w:val="center"/>
          </w:tcPr>
          <w:p w14:paraId="10ED27A0">
            <w:pPr>
              <w:keepLines w:val="0"/>
              <w:pageBreakBefore w:val="0"/>
              <w:wordWrap/>
              <w:overflowPunct/>
              <w:topLinePunct w:val="0"/>
              <w:bidi w:val="0"/>
              <w:spacing w:line="360" w:lineRule="auto"/>
              <w:rPr>
                <w:rFonts w:hint="default" w:ascii="Times New Roman" w:hAnsi="Times New Roman" w:eastAsia="宋体" w:cs="Times New Roman"/>
                <w:i w:val="0"/>
                <w:iCs w:val="0"/>
                <w:color w:val="000000"/>
                <w:kern w:val="0"/>
                <w:sz w:val="21"/>
                <w:szCs w:val="21"/>
                <w:u w:val="none"/>
                <w:lang w:val="en-US" w:eastAsia="zh-CN" w:bidi="ar"/>
              </w:rPr>
            </w:pPr>
          </w:p>
        </w:tc>
        <w:tc>
          <w:tcPr>
            <w:tcW w:w="914" w:type="pct"/>
            <w:vAlign w:val="center"/>
          </w:tcPr>
          <w:p w14:paraId="7BA278D0">
            <w:pPr>
              <w:keepLines w:val="0"/>
              <w:pageBreakBefore w:val="0"/>
              <w:wordWrap/>
              <w:overflowPunct/>
              <w:topLinePunct w:val="0"/>
              <w:bidi w:val="0"/>
              <w:spacing w:line="360" w:lineRule="auto"/>
              <w:rPr>
                <w:rFonts w:hint="default" w:ascii="Times New Roman" w:hAnsi="Times New Roman" w:eastAsia="宋体" w:cs="Times New Roman"/>
                <w:i w:val="0"/>
                <w:iCs w:val="0"/>
                <w:color w:val="000000"/>
                <w:kern w:val="0"/>
                <w:sz w:val="21"/>
                <w:szCs w:val="21"/>
                <w:u w:val="none"/>
                <w:lang w:val="en-US" w:eastAsia="zh-CN" w:bidi="ar"/>
              </w:rPr>
            </w:pPr>
          </w:p>
        </w:tc>
        <w:tc>
          <w:tcPr>
            <w:tcW w:w="491" w:type="pct"/>
            <w:vAlign w:val="center"/>
          </w:tcPr>
          <w:p w14:paraId="5E4D24FD">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黄色</w:t>
            </w:r>
          </w:p>
        </w:tc>
      </w:tr>
      <w:tr w14:paraId="53FFB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451A7CAB">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（7）</w:t>
            </w:r>
          </w:p>
        </w:tc>
        <w:tc>
          <w:tcPr>
            <w:tcW w:w="1109" w:type="pct"/>
            <w:vAlign w:val="center"/>
          </w:tcPr>
          <w:p w14:paraId="63BB748E">
            <w:pPr>
              <w:keepNext w:val="0"/>
              <w:keepLines w:val="0"/>
              <w:pageBreakBefore w:val="0"/>
              <w:widowControl/>
              <w:suppressLineNumbers w:val="0"/>
              <w:wordWrap/>
              <w:overflowPunct/>
              <w:topLinePunct w:val="0"/>
              <w:bidi w:val="0"/>
              <w:spacing w:line="360" w:lineRule="auto"/>
              <w:jc w:val="left"/>
              <w:textAlignment w:val="center"/>
              <w:rPr>
                <w:rFonts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山东嘉源</w:t>
            </w:r>
          </w:p>
        </w:tc>
        <w:tc>
          <w:tcPr>
            <w:tcW w:w="784" w:type="pct"/>
            <w:vAlign w:val="center"/>
          </w:tcPr>
          <w:p w14:paraId="699CA417">
            <w:pPr>
              <w:keepNext w:val="0"/>
              <w:keepLines w:val="0"/>
              <w:pageBreakBefore w:val="0"/>
              <w:widowControl/>
              <w:suppressLineNumbers w:val="0"/>
              <w:wordWrap/>
              <w:overflowPunct/>
              <w:topLinePunct w:val="0"/>
              <w:bidi w:val="0"/>
              <w:spacing w:line="360" w:lineRule="auto"/>
              <w:jc w:val="left"/>
              <w:textAlignment w:val="center"/>
              <w:rPr>
                <w:rFonts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26-12-12</w:t>
            </w:r>
          </w:p>
        </w:tc>
        <w:tc>
          <w:tcPr>
            <w:tcW w:w="1175" w:type="pct"/>
            <w:vAlign w:val="center"/>
          </w:tcPr>
          <w:p w14:paraId="0FE07AA4">
            <w:pPr>
              <w:keepLines w:val="0"/>
              <w:pageBreakBefore w:val="0"/>
              <w:wordWrap/>
              <w:overflowPunct/>
              <w:topLinePunct w:val="0"/>
              <w:bidi w:val="0"/>
              <w:spacing w:line="360" w:lineRule="auto"/>
              <w:rPr>
                <w:rFonts w:hint="default" w:ascii="Times New Roman" w:hAnsi="Times New Roman" w:eastAsia="宋体" w:cs="Times New Roman"/>
                <w:i w:val="0"/>
                <w:iCs w:val="0"/>
                <w:color w:val="000000"/>
                <w:kern w:val="0"/>
                <w:sz w:val="21"/>
                <w:szCs w:val="21"/>
                <w:u w:val="none"/>
                <w:lang w:val="en-US" w:eastAsia="zh-CN" w:bidi="ar"/>
              </w:rPr>
            </w:pPr>
          </w:p>
        </w:tc>
        <w:tc>
          <w:tcPr>
            <w:tcW w:w="914" w:type="pct"/>
            <w:vAlign w:val="center"/>
          </w:tcPr>
          <w:p w14:paraId="7C5274F3">
            <w:pPr>
              <w:keepLines w:val="0"/>
              <w:pageBreakBefore w:val="0"/>
              <w:wordWrap/>
              <w:overflowPunct/>
              <w:topLinePunct w:val="0"/>
              <w:bidi w:val="0"/>
              <w:spacing w:line="360" w:lineRule="auto"/>
              <w:rPr>
                <w:rFonts w:hint="default" w:ascii="Times New Roman" w:hAnsi="Times New Roman" w:eastAsia="宋体" w:cs="Times New Roman"/>
                <w:i w:val="0"/>
                <w:iCs w:val="0"/>
                <w:color w:val="000000"/>
                <w:kern w:val="0"/>
                <w:sz w:val="21"/>
                <w:szCs w:val="21"/>
                <w:u w:val="none"/>
                <w:lang w:val="en-US" w:eastAsia="zh-CN" w:bidi="ar"/>
              </w:rPr>
            </w:pPr>
          </w:p>
        </w:tc>
        <w:tc>
          <w:tcPr>
            <w:tcW w:w="491" w:type="pct"/>
            <w:vAlign w:val="center"/>
          </w:tcPr>
          <w:p w14:paraId="765DA4C0">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黄色</w:t>
            </w:r>
          </w:p>
        </w:tc>
      </w:tr>
      <w:tr w14:paraId="3AE53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30D3E0BD">
            <w:pPr>
              <w:keepLines w:val="0"/>
              <w:pageBreakBefore w:val="0"/>
              <w:wordWrap/>
              <w:overflowPunct/>
              <w:topLinePunct w:val="0"/>
              <w:bidi w:val="0"/>
              <w:spacing w:line="360" w:lineRule="auto"/>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（8）</w:t>
            </w:r>
          </w:p>
        </w:tc>
        <w:tc>
          <w:tcPr>
            <w:tcW w:w="1109" w:type="pct"/>
            <w:vAlign w:val="center"/>
          </w:tcPr>
          <w:p w14:paraId="220DE8E8">
            <w:pPr>
              <w:keepNext w:val="0"/>
              <w:keepLines w:val="0"/>
              <w:pageBreakBefore w:val="0"/>
              <w:widowControl/>
              <w:suppressLineNumbers w:val="0"/>
              <w:wordWrap/>
              <w:overflowPunct/>
              <w:topLinePunct w:val="0"/>
              <w:bidi w:val="0"/>
              <w:spacing w:line="360" w:lineRule="auto"/>
              <w:jc w:val="left"/>
              <w:textAlignment w:val="center"/>
              <w:rPr>
                <w:rFonts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吉林隆福源</w:t>
            </w:r>
          </w:p>
        </w:tc>
        <w:tc>
          <w:tcPr>
            <w:tcW w:w="784" w:type="pct"/>
            <w:vAlign w:val="center"/>
          </w:tcPr>
          <w:p w14:paraId="302B31D5">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26-12-12</w:t>
            </w:r>
          </w:p>
        </w:tc>
        <w:tc>
          <w:tcPr>
            <w:tcW w:w="1175" w:type="pct"/>
            <w:vAlign w:val="center"/>
          </w:tcPr>
          <w:p w14:paraId="18751076">
            <w:pPr>
              <w:keepLines w:val="0"/>
              <w:pageBreakBefore w:val="0"/>
              <w:wordWrap/>
              <w:overflowPunct/>
              <w:topLinePunct w:val="0"/>
              <w:bidi w:val="0"/>
              <w:spacing w:line="360" w:lineRule="auto"/>
              <w:rPr>
                <w:rFonts w:hint="default" w:ascii="Times New Roman" w:hAnsi="Times New Roman" w:eastAsia="宋体" w:cs="Times New Roman"/>
                <w:i w:val="0"/>
                <w:iCs w:val="0"/>
                <w:color w:val="000000"/>
                <w:kern w:val="0"/>
                <w:sz w:val="21"/>
                <w:szCs w:val="21"/>
                <w:u w:val="none"/>
                <w:lang w:val="en-US" w:eastAsia="zh-CN" w:bidi="ar"/>
              </w:rPr>
            </w:pPr>
          </w:p>
        </w:tc>
        <w:tc>
          <w:tcPr>
            <w:tcW w:w="914" w:type="pct"/>
            <w:vAlign w:val="center"/>
          </w:tcPr>
          <w:p w14:paraId="063106F1">
            <w:pPr>
              <w:keepLines w:val="0"/>
              <w:pageBreakBefore w:val="0"/>
              <w:wordWrap/>
              <w:overflowPunct/>
              <w:topLinePunct w:val="0"/>
              <w:bidi w:val="0"/>
              <w:spacing w:line="360" w:lineRule="auto"/>
              <w:rPr>
                <w:rFonts w:hint="default" w:ascii="Times New Roman" w:hAnsi="Times New Roman" w:eastAsia="宋体" w:cs="Times New Roman"/>
                <w:i w:val="0"/>
                <w:iCs w:val="0"/>
                <w:color w:val="000000"/>
                <w:kern w:val="0"/>
                <w:sz w:val="21"/>
                <w:szCs w:val="21"/>
                <w:u w:val="none"/>
                <w:lang w:val="en-US" w:eastAsia="zh-CN" w:bidi="ar"/>
              </w:rPr>
            </w:pPr>
          </w:p>
        </w:tc>
        <w:tc>
          <w:tcPr>
            <w:tcW w:w="491" w:type="pct"/>
            <w:vAlign w:val="center"/>
          </w:tcPr>
          <w:p w14:paraId="3EC7DF0E">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黄色</w:t>
            </w:r>
          </w:p>
        </w:tc>
      </w:tr>
      <w:tr w14:paraId="5945D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tcPr>
          <w:p w14:paraId="666E5F7A">
            <w:pPr>
              <w:keepLines w:val="0"/>
              <w:pageBreakBefore w:val="0"/>
              <w:wordWrap/>
              <w:overflowPunct/>
              <w:topLinePunct w:val="0"/>
              <w:bidi w:val="0"/>
              <w:spacing w:line="360" w:lineRule="auto"/>
              <w:rPr>
                <w:rFonts w:ascii="Times New Roman" w:hAnsi="Times New Roman" w:eastAsia="宋体" w:cs="Times New Roman"/>
                <w:sz w:val="21"/>
                <w:szCs w:val="21"/>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9</w:t>
            </w:r>
            <w:r>
              <w:rPr>
                <w:rFonts w:ascii="Times New Roman" w:hAnsi="Times New Roman" w:eastAsia="宋体" w:cs="Times New Roman"/>
                <w:sz w:val="21"/>
                <w:szCs w:val="21"/>
              </w:rPr>
              <w:t>）</w:t>
            </w:r>
          </w:p>
        </w:tc>
        <w:tc>
          <w:tcPr>
            <w:tcW w:w="1109" w:type="pct"/>
            <w:vAlign w:val="center"/>
          </w:tcPr>
          <w:p w14:paraId="7F8B16E0">
            <w:pPr>
              <w:keepNext w:val="0"/>
              <w:keepLines w:val="0"/>
              <w:pageBreakBefore w:val="0"/>
              <w:widowControl/>
              <w:suppressLineNumbers w:val="0"/>
              <w:wordWrap/>
              <w:overflowPunct/>
              <w:topLinePunct w:val="0"/>
              <w:bidi w:val="0"/>
              <w:spacing w:line="360" w:lineRule="auto"/>
              <w:jc w:val="left"/>
              <w:textAlignment w:val="center"/>
              <w:rPr>
                <w:rFonts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河南施可丰</w:t>
            </w:r>
          </w:p>
        </w:tc>
        <w:tc>
          <w:tcPr>
            <w:tcW w:w="784" w:type="pct"/>
            <w:vAlign w:val="center"/>
          </w:tcPr>
          <w:p w14:paraId="6C0573A9">
            <w:pPr>
              <w:keepNext w:val="0"/>
              <w:keepLines w:val="0"/>
              <w:pageBreakBefore w:val="0"/>
              <w:widowControl/>
              <w:suppressLineNumbers w:val="0"/>
              <w:wordWrap/>
              <w:overflowPunct/>
              <w:topLinePunct w:val="0"/>
              <w:bidi w:val="0"/>
              <w:spacing w:line="360" w:lineRule="auto"/>
              <w:jc w:val="left"/>
              <w:textAlignment w:val="center"/>
              <w:rPr>
                <w:rFonts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24-15-6</w:t>
            </w:r>
          </w:p>
        </w:tc>
        <w:tc>
          <w:tcPr>
            <w:tcW w:w="1175" w:type="pct"/>
            <w:vAlign w:val="center"/>
          </w:tcPr>
          <w:p w14:paraId="2B5FE1F8">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小麦</w:t>
            </w:r>
          </w:p>
        </w:tc>
        <w:tc>
          <w:tcPr>
            <w:tcW w:w="914" w:type="pct"/>
            <w:vAlign w:val="center"/>
          </w:tcPr>
          <w:p w14:paraId="1110F5AA">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高塔包膜后</w:t>
            </w:r>
          </w:p>
        </w:tc>
        <w:tc>
          <w:tcPr>
            <w:tcW w:w="491" w:type="pct"/>
            <w:vAlign w:val="center"/>
          </w:tcPr>
          <w:p w14:paraId="6B7A27E8">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白色</w:t>
            </w:r>
          </w:p>
        </w:tc>
      </w:tr>
      <w:tr w14:paraId="383C0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tcPr>
          <w:p w14:paraId="2614D57D">
            <w:pPr>
              <w:keepLines w:val="0"/>
              <w:pageBreakBefore w:val="0"/>
              <w:wordWrap/>
              <w:overflowPunct/>
              <w:topLinePunct w:val="0"/>
              <w:bidi w:val="0"/>
              <w:spacing w:line="360" w:lineRule="auto"/>
              <w:rPr>
                <w:rFonts w:ascii="Times New Roman" w:hAnsi="Times New Roman" w:eastAsia="宋体" w:cs="Times New Roman"/>
                <w:sz w:val="21"/>
                <w:szCs w:val="21"/>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10</w:t>
            </w:r>
            <w:r>
              <w:rPr>
                <w:rFonts w:ascii="Times New Roman" w:hAnsi="Times New Roman" w:eastAsia="宋体" w:cs="Times New Roman"/>
                <w:sz w:val="21"/>
                <w:szCs w:val="21"/>
              </w:rPr>
              <w:t>）</w:t>
            </w:r>
          </w:p>
        </w:tc>
        <w:tc>
          <w:tcPr>
            <w:tcW w:w="1109" w:type="pct"/>
            <w:vAlign w:val="center"/>
          </w:tcPr>
          <w:p w14:paraId="5088EAF7">
            <w:pPr>
              <w:keepNext w:val="0"/>
              <w:keepLines w:val="0"/>
              <w:pageBreakBefore w:val="0"/>
              <w:widowControl/>
              <w:suppressLineNumbers w:val="0"/>
              <w:wordWrap/>
              <w:overflowPunct/>
              <w:topLinePunct w:val="0"/>
              <w:bidi w:val="0"/>
              <w:spacing w:line="360" w:lineRule="auto"/>
              <w:jc w:val="left"/>
              <w:textAlignment w:val="center"/>
              <w:rPr>
                <w:rFonts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河南施可丰</w:t>
            </w:r>
          </w:p>
        </w:tc>
        <w:tc>
          <w:tcPr>
            <w:tcW w:w="784" w:type="pct"/>
            <w:vAlign w:val="center"/>
          </w:tcPr>
          <w:p w14:paraId="751B832A">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24-15-6</w:t>
            </w:r>
          </w:p>
        </w:tc>
        <w:tc>
          <w:tcPr>
            <w:tcW w:w="1175" w:type="pct"/>
            <w:vAlign w:val="center"/>
          </w:tcPr>
          <w:p w14:paraId="39388696">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小麦</w:t>
            </w:r>
          </w:p>
        </w:tc>
        <w:tc>
          <w:tcPr>
            <w:tcW w:w="914" w:type="pct"/>
            <w:vAlign w:val="center"/>
          </w:tcPr>
          <w:p w14:paraId="23547A1D">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高塔包膜前</w:t>
            </w:r>
          </w:p>
        </w:tc>
        <w:tc>
          <w:tcPr>
            <w:tcW w:w="491" w:type="pct"/>
            <w:vAlign w:val="center"/>
          </w:tcPr>
          <w:p w14:paraId="1C27650D">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白色</w:t>
            </w:r>
          </w:p>
        </w:tc>
      </w:tr>
      <w:tr w14:paraId="5F075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tcPr>
          <w:p w14:paraId="7EC3B67A">
            <w:pPr>
              <w:keepLines w:val="0"/>
              <w:pageBreakBefore w:val="0"/>
              <w:wordWrap/>
              <w:overflowPunct/>
              <w:topLinePunct w:val="0"/>
              <w:bidi w:val="0"/>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11</w:t>
            </w:r>
            <w:r>
              <w:rPr>
                <w:rFonts w:hint="eastAsia" w:ascii="Times New Roman" w:hAnsi="Times New Roman" w:eastAsia="宋体" w:cs="Times New Roman"/>
                <w:sz w:val="21"/>
                <w:szCs w:val="21"/>
              </w:rPr>
              <w:t>）</w:t>
            </w:r>
          </w:p>
        </w:tc>
        <w:tc>
          <w:tcPr>
            <w:tcW w:w="1109" w:type="pct"/>
            <w:vAlign w:val="center"/>
          </w:tcPr>
          <w:p w14:paraId="3911CE29">
            <w:pPr>
              <w:keepNext w:val="0"/>
              <w:keepLines w:val="0"/>
              <w:pageBreakBefore w:val="0"/>
              <w:widowControl/>
              <w:suppressLineNumbers w:val="0"/>
              <w:wordWrap/>
              <w:overflowPunct/>
              <w:topLinePunct w:val="0"/>
              <w:bidi w:val="0"/>
              <w:spacing w:line="360" w:lineRule="auto"/>
              <w:jc w:val="left"/>
              <w:textAlignment w:val="center"/>
              <w:rPr>
                <w:rFonts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山东施可丰</w:t>
            </w:r>
          </w:p>
        </w:tc>
        <w:tc>
          <w:tcPr>
            <w:tcW w:w="784" w:type="pct"/>
            <w:vAlign w:val="center"/>
          </w:tcPr>
          <w:p w14:paraId="71C6AC1C">
            <w:pPr>
              <w:keepNext w:val="0"/>
              <w:keepLines w:val="0"/>
              <w:pageBreakBefore w:val="0"/>
              <w:widowControl/>
              <w:suppressLineNumbers w:val="0"/>
              <w:wordWrap/>
              <w:overflowPunct/>
              <w:topLinePunct w:val="0"/>
              <w:bidi w:val="0"/>
              <w:spacing w:line="360" w:lineRule="auto"/>
              <w:jc w:val="left"/>
              <w:textAlignment w:val="center"/>
              <w:rPr>
                <w:rFonts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26-11-11</w:t>
            </w:r>
          </w:p>
        </w:tc>
        <w:tc>
          <w:tcPr>
            <w:tcW w:w="1175" w:type="pct"/>
            <w:vAlign w:val="center"/>
          </w:tcPr>
          <w:p w14:paraId="02D4FF20">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原料1</w:t>
            </w:r>
          </w:p>
        </w:tc>
        <w:tc>
          <w:tcPr>
            <w:tcW w:w="914" w:type="pct"/>
            <w:vAlign w:val="center"/>
          </w:tcPr>
          <w:p w14:paraId="2022F7E9">
            <w:pPr>
              <w:keepLines w:val="0"/>
              <w:pageBreakBefore w:val="0"/>
              <w:wordWrap/>
              <w:overflowPunct/>
              <w:topLinePunct w:val="0"/>
              <w:bidi w:val="0"/>
              <w:spacing w:line="360" w:lineRule="auto"/>
              <w:rPr>
                <w:rFonts w:hint="default" w:ascii="Times New Roman" w:hAnsi="Times New Roman" w:eastAsia="宋体" w:cs="Times New Roman"/>
                <w:i w:val="0"/>
                <w:iCs w:val="0"/>
                <w:color w:val="000000"/>
                <w:kern w:val="0"/>
                <w:sz w:val="21"/>
                <w:szCs w:val="21"/>
                <w:u w:val="none"/>
                <w:lang w:val="en-US" w:eastAsia="zh-CN" w:bidi="ar"/>
              </w:rPr>
            </w:pPr>
          </w:p>
        </w:tc>
        <w:tc>
          <w:tcPr>
            <w:tcW w:w="491" w:type="pct"/>
            <w:vAlign w:val="center"/>
          </w:tcPr>
          <w:p w14:paraId="798C99DE">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黄色</w:t>
            </w:r>
          </w:p>
        </w:tc>
      </w:tr>
      <w:tr w14:paraId="28562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tcPr>
          <w:p w14:paraId="298A2073">
            <w:pPr>
              <w:keepLines w:val="0"/>
              <w:pageBreakBefore w:val="0"/>
              <w:wordWrap/>
              <w:overflowPunct/>
              <w:topLinePunct w:val="0"/>
              <w:bidi w:val="0"/>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12</w:t>
            </w:r>
            <w:r>
              <w:rPr>
                <w:rFonts w:hint="eastAsia" w:ascii="Times New Roman" w:hAnsi="Times New Roman" w:eastAsia="宋体" w:cs="Times New Roman"/>
                <w:sz w:val="21"/>
                <w:szCs w:val="21"/>
              </w:rPr>
              <w:t>）</w:t>
            </w:r>
          </w:p>
        </w:tc>
        <w:tc>
          <w:tcPr>
            <w:tcW w:w="1109" w:type="pct"/>
            <w:vAlign w:val="center"/>
          </w:tcPr>
          <w:p w14:paraId="3923A194">
            <w:pPr>
              <w:keepNext w:val="0"/>
              <w:keepLines w:val="0"/>
              <w:pageBreakBefore w:val="0"/>
              <w:widowControl/>
              <w:suppressLineNumbers w:val="0"/>
              <w:wordWrap/>
              <w:overflowPunct/>
              <w:topLinePunct w:val="0"/>
              <w:bidi w:val="0"/>
              <w:spacing w:line="360" w:lineRule="auto"/>
              <w:jc w:val="left"/>
              <w:textAlignment w:val="center"/>
              <w:rPr>
                <w:rFonts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山东施可丰</w:t>
            </w:r>
          </w:p>
        </w:tc>
        <w:tc>
          <w:tcPr>
            <w:tcW w:w="784" w:type="pct"/>
            <w:vAlign w:val="center"/>
          </w:tcPr>
          <w:p w14:paraId="07D790F7">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26-11-11</w:t>
            </w:r>
          </w:p>
        </w:tc>
        <w:tc>
          <w:tcPr>
            <w:tcW w:w="1175" w:type="pct"/>
            <w:vAlign w:val="center"/>
          </w:tcPr>
          <w:p w14:paraId="5875CDDF">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原料2</w:t>
            </w:r>
          </w:p>
        </w:tc>
        <w:tc>
          <w:tcPr>
            <w:tcW w:w="914" w:type="pct"/>
            <w:vAlign w:val="center"/>
          </w:tcPr>
          <w:p w14:paraId="17E8FCBE">
            <w:pPr>
              <w:keepLines w:val="0"/>
              <w:pageBreakBefore w:val="0"/>
              <w:wordWrap/>
              <w:overflowPunct/>
              <w:topLinePunct w:val="0"/>
              <w:bidi w:val="0"/>
              <w:spacing w:line="360" w:lineRule="auto"/>
              <w:rPr>
                <w:rFonts w:hint="default" w:ascii="Times New Roman" w:hAnsi="Times New Roman" w:eastAsia="宋体" w:cs="Times New Roman"/>
                <w:i w:val="0"/>
                <w:iCs w:val="0"/>
                <w:color w:val="000000"/>
                <w:kern w:val="0"/>
                <w:sz w:val="21"/>
                <w:szCs w:val="21"/>
                <w:u w:val="none"/>
                <w:lang w:val="en-US" w:eastAsia="zh-CN" w:bidi="ar"/>
              </w:rPr>
            </w:pPr>
          </w:p>
        </w:tc>
        <w:tc>
          <w:tcPr>
            <w:tcW w:w="491" w:type="pct"/>
            <w:vAlign w:val="center"/>
          </w:tcPr>
          <w:p w14:paraId="6DCD1158">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黄色</w:t>
            </w:r>
          </w:p>
        </w:tc>
      </w:tr>
      <w:tr w14:paraId="06B99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tcPr>
          <w:p w14:paraId="4FAE4421">
            <w:pPr>
              <w:keepLines w:val="0"/>
              <w:pageBreakBefore w:val="0"/>
              <w:wordWrap/>
              <w:overflowPunct/>
              <w:topLinePunct w:val="0"/>
              <w:bidi w:val="0"/>
              <w:spacing w:line="360" w:lineRule="auto"/>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13</w:t>
            </w:r>
            <w:r>
              <w:rPr>
                <w:rFonts w:hint="eastAsia" w:ascii="Times New Roman" w:hAnsi="Times New Roman" w:eastAsia="宋体" w:cs="Times New Roman"/>
                <w:sz w:val="21"/>
                <w:szCs w:val="21"/>
                <w:lang w:eastAsia="zh-CN"/>
              </w:rPr>
              <w:t>）</w:t>
            </w:r>
          </w:p>
        </w:tc>
        <w:tc>
          <w:tcPr>
            <w:tcW w:w="1109" w:type="pct"/>
            <w:vAlign w:val="center"/>
          </w:tcPr>
          <w:p w14:paraId="30747E08">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山东施可丰</w:t>
            </w:r>
          </w:p>
        </w:tc>
        <w:tc>
          <w:tcPr>
            <w:tcW w:w="784" w:type="pct"/>
            <w:vAlign w:val="center"/>
          </w:tcPr>
          <w:p w14:paraId="00F60E20">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26-11-11</w:t>
            </w:r>
          </w:p>
        </w:tc>
        <w:tc>
          <w:tcPr>
            <w:tcW w:w="1175" w:type="pct"/>
            <w:vAlign w:val="center"/>
          </w:tcPr>
          <w:p w14:paraId="705A4474">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成品1</w:t>
            </w:r>
          </w:p>
        </w:tc>
        <w:tc>
          <w:tcPr>
            <w:tcW w:w="914" w:type="pct"/>
            <w:vAlign w:val="center"/>
          </w:tcPr>
          <w:p w14:paraId="1DDC6E84">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低氯</w:t>
            </w:r>
          </w:p>
        </w:tc>
        <w:tc>
          <w:tcPr>
            <w:tcW w:w="491" w:type="pct"/>
            <w:vAlign w:val="center"/>
          </w:tcPr>
          <w:p w14:paraId="013A72DE">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黄色</w:t>
            </w:r>
          </w:p>
        </w:tc>
      </w:tr>
      <w:tr w14:paraId="6238E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tcPr>
          <w:p w14:paraId="73139255">
            <w:pPr>
              <w:keepLines w:val="0"/>
              <w:pageBreakBefore w:val="0"/>
              <w:wordWrap/>
              <w:overflowPunct/>
              <w:topLinePunct w:val="0"/>
              <w:bidi w:val="0"/>
              <w:spacing w:line="360" w:lineRule="auto"/>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14</w:t>
            </w:r>
            <w:r>
              <w:rPr>
                <w:rFonts w:hint="eastAsia" w:ascii="Times New Roman" w:hAnsi="Times New Roman" w:eastAsia="宋体" w:cs="Times New Roman"/>
                <w:sz w:val="21"/>
                <w:szCs w:val="21"/>
                <w:lang w:eastAsia="zh-CN"/>
              </w:rPr>
              <w:t>）</w:t>
            </w:r>
          </w:p>
        </w:tc>
        <w:tc>
          <w:tcPr>
            <w:tcW w:w="1109" w:type="pct"/>
            <w:vAlign w:val="center"/>
          </w:tcPr>
          <w:p w14:paraId="787D3667">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山东施可丰</w:t>
            </w:r>
          </w:p>
        </w:tc>
        <w:tc>
          <w:tcPr>
            <w:tcW w:w="784" w:type="pct"/>
            <w:vAlign w:val="center"/>
          </w:tcPr>
          <w:p w14:paraId="7BFAA2D9">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26-11-11</w:t>
            </w:r>
          </w:p>
        </w:tc>
        <w:tc>
          <w:tcPr>
            <w:tcW w:w="1175" w:type="pct"/>
            <w:vAlign w:val="center"/>
          </w:tcPr>
          <w:p w14:paraId="1D51B998">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成品2</w:t>
            </w:r>
          </w:p>
        </w:tc>
        <w:tc>
          <w:tcPr>
            <w:tcW w:w="914" w:type="pct"/>
            <w:vAlign w:val="center"/>
          </w:tcPr>
          <w:p w14:paraId="71D2B31A">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低氯</w:t>
            </w:r>
          </w:p>
        </w:tc>
        <w:tc>
          <w:tcPr>
            <w:tcW w:w="491" w:type="pct"/>
            <w:vAlign w:val="center"/>
          </w:tcPr>
          <w:p w14:paraId="3C10832C">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黄色</w:t>
            </w:r>
          </w:p>
        </w:tc>
      </w:tr>
      <w:tr w14:paraId="1E2CF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tcPr>
          <w:p w14:paraId="01E8CC93">
            <w:pPr>
              <w:keepLines w:val="0"/>
              <w:pageBreakBefore w:val="0"/>
              <w:wordWrap/>
              <w:overflowPunct/>
              <w:topLinePunct w:val="0"/>
              <w:bidi w:val="0"/>
              <w:spacing w:line="360" w:lineRule="auto"/>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15</w:t>
            </w:r>
            <w:r>
              <w:rPr>
                <w:rFonts w:hint="eastAsia" w:ascii="Times New Roman" w:hAnsi="Times New Roman" w:eastAsia="宋体" w:cs="Times New Roman"/>
                <w:sz w:val="21"/>
                <w:szCs w:val="21"/>
                <w:lang w:eastAsia="zh-CN"/>
              </w:rPr>
              <w:t>）</w:t>
            </w:r>
          </w:p>
        </w:tc>
        <w:tc>
          <w:tcPr>
            <w:tcW w:w="1109" w:type="pct"/>
            <w:vAlign w:val="center"/>
          </w:tcPr>
          <w:p w14:paraId="5A17C738">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辽宁东北丰</w:t>
            </w:r>
          </w:p>
        </w:tc>
        <w:tc>
          <w:tcPr>
            <w:tcW w:w="784" w:type="pct"/>
            <w:vAlign w:val="center"/>
          </w:tcPr>
          <w:p w14:paraId="6F59E6E7">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26-11-11</w:t>
            </w:r>
          </w:p>
        </w:tc>
        <w:tc>
          <w:tcPr>
            <w:tcW w:w="1175" w:type="pct"/>
            <w:vAlign w:val="center"/>
          </w:tcPr>
          <w:p w14:paraId="43EC8A93">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原料样品</w:t>
            </w:r>
          </w:p>
        </w:tc>
        <w:tc>
          <w:tcPr>
            <w:tcW w:w="914" w:type="pct"/>
            <w:vAlign w:val="center"/>
          </w:tcPr>
          <w:p w14:paraId="5826DD9E">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含氯（低氯）</w:t>
            </w:r>
          </w:p>
        </w:tc>
        <w:tc>
          <w:tcPr>
            <w:tcW w:w="491" w:type="pct"/>
            <w:vAlign w:val="center"/>
          </w:tcPr>
          <w:p w14:paraId="7C61EA9E">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白色</w:t>
            </w:r>
          </w:p>
        </w:tc>
      </w:tr>
      <w:tr w14:paraId="7FC61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008A6705">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1</w:t>
            </w:r>
            <w:r>
              <w:rPr>
                <w:rFonts w:ascii="Times New Roman" w:hAnsi="Times New Roman" w:eastAsia="宋体" w:cs="Times New Roman"/>
                <w:sz w:val="21"/>
                <w:szCs w:val="21"/>
              </w:rPr>
              <w:t>6）</w:t>
            </w:r>
          </w:p>
        </w:tc>
        <w:tc>
          <w:tcPr>
            <w:tcW w:w="1109" w:type="pct"/>
            <w:vAlign w:val="center"/>
          </w:tcPr>
          <w:p w14:paraId="3727F7A5">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辽宁东北丰</w:t>
            </w:r>
          </w:p>
        </w:tc>
        <w:tc>
          <w:tcPr>
            <w:tcW w:w="784" w:type="pct"/>
            <w:vAlign w:val="center"/>
          </w:tcPr>
          <w:p w14:paraId="33ACA63C">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26-11-11</w:t>
            </w:r>
          </w:p>
        </w:tc>
        <w:tc>
          <w:tcPr>
            <w:tcW w:w="1175" w:type="pct"/>
            <w:vAlign w:val="center"/>
          </w:tcPr>
          <w:p w14:paraId="5758A5EC">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w:t>
            </w:r>
          </w:p>
        </w:tc>
        <w:tc>
          <w:tcPr>
            <w:tcW w:w="914" w:type="pct"/>
            <w:vAlign w:val="center"/>
          </w:tcPr>
          <w:p w14:paraId="16CF8FA3">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含氯（低氯）</w:t>
            </w:r>
          </w:p>
        </w:tc>
        <w:tc>
          <w:tcPr>
            <w:tcW w:w="491" w:type="pct"/>
            <w:vAlign w:val="center"/>
          </w:tcPr>
          <w:p w14:paraId="0668A634">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黄色</w:t>
            </w:r>
          </w:p>
        </w:tc>
      </w:tr>
      <w:tr w14:paraId="6965D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66F762DB">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1</w:t>
            </w:r>
            <w:r>
              <w:rPr>
                <w:rFonts w:hint="eastAsia" w:ascii="Times New Roman" w:hAnsi="Times New Roman" w:eastAsia="宋体" w:cs="Times New Roman"/>
                <w:sz w:val="21"/>
                <w:szCs w:val="21"/>
              </w:rPr>
              <w:t>7）</w:t>
            </w:r>
          </w:p>
        </w:tc>
        <w:tc>
          <w:tcPr>
            <w:tcW w:w="1109" w:type="pct"/>
            <w:vAlign w:val="center"/>
          </w:tcPr>
          <w:p w14:paraId="2760FA97">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辽宁东北丰</w:t>
            </w:r>
          </w:p>
        </w:tc>
        <w:tc>
          <w:tcPr>
            <w:tcW w:w="784" w:type="pct"/>
            <w:vAlign w:val="center"/>
          </w:tcPr>
          <w:p w14:paraId="2B6A075B">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26-11-12</w:t>
            </w:r>
          </w:p>
        </w:tc>
        <w:tc>
          <w:tcPr>
            <w:tcW w:w="1175" w:type="pct"/>
            <w:vAlign w:val="center"/>
          </w:tcPr>
          <w:p w14:paraId="6E875BD7">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原料样品</w:t>
            </w:r>
          </w:p>
        </w:tc>
        <w:tc>
          <w:tcPr>
            <w:tcW w:w="914" w:type="pct"/>
            <w:vAlign w:val="center"/>
          </w:tcPr>
          <w:p w14:paraId="0FC26851">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含氯（低氯）</w:t>
            </w:r>
          </w:p>
        </w:tc>
        <w:tc>
          <w:tcPr>
            <w:tcW w:w="491" w:type="pct"/>
            <w:vAlign w:val="center"/>
          </w:tcPr>
          <w:p w14:paraId="330A54D9">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黄色</w:t>
            </w:r>
          </w:p>
        </w:tc>
      </w:tr>
      <w:tr w14:paraId="00FAE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27A2A09D">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1</w:t>
            </w:r>
            <w:r>
              <w:rPr>
                <w:rFonts w:hint="eastAsia" w:ascii="Times New Roman" w:hAnsi="Times New Roman" w:eastAsia="宋体" w:cs="Times New Roman"/>
                <w:sz w:val="21"/>
                <w:szCs w:val="21"/>
              </w:rPr>
              <w:t>8）</w:t>
            </w:r>
          </w:p>
        </w:tc>
        <w:tc>
          <w:tcPr>
            <w:tcW w:w="1109" w:type="pct"/>
            <w:vAlign w:val="center"/>
          </w:tcPr>
          <w:p w14:paraId="273D989F">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辽宁东北丰</w:t>
            </w:r>
          </w:p>
        </w:tc>
        <w:tc>
          <w:tcPr>
            <w:tcW w:w="784" w:type="pct"/>
            <w:vAlign w:val="center"/>
          </w:tcPr>
          <w:p w14:paraId="6199CF3C">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26-11-12</w:t>
            </w:r>
          </w:p>
        </w:tc>
        <w:tc>
          <w:tcPr>
            <w:tcW w:w="1175" w:type="pct"/>
            <w:vAlign w:val="center"/>
          </w:tcPr>
          <w:p w14:paraId="72276DEB">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w:t>
            </w:r>
          </w:p>
        </w:tc>
        <w:tc>
          <w:tcPr>
            <w:tcW w:w="914" w:type="pct"/>
            <w:vAlign w:val="center"/>
          </w:tcPr>
          <w:p w14:paraId="4AAAF327">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含氯（低氯）</w:t>
            </w:r>
          </w:p>
        </w:tc>
        <w:tc>
          <w:tcPr>
            <w:tcW w:w="491" w:type="pct"/>
            <w:vAlign w:val="center"/>
          </w:tcPr>
          <w:p w14:paraId="2800C9B3">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黄色</w:t>
            </w:r>
          </w:p>
        </w:tc>
      </w:tr>
      <w:tr w14:paraId="11ECA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0CCCDA9F">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19</w:t>
            </w:r>
            <w:r>
              <w:rPr>
                <w:rFonts w:ascii="Times New Roman" w:hAnsi="Times New Roman" w:eastAsia="宋体" w:cs="Times New Roman"/>
                <w:sz w:val="21"/>
                <w:szCs w:val="21"/>
              </w:rPr>
              <w:t>）</w:t>
            </w:r>
          </w:p>
        </w:tc>
        <w:tc>
          <w:tcPr>
            <w:tcW w:w="1109" w:type="pct"/>
            <w:vAlign w:val="center"/>
          </w:tcPr>
          <w:p w14:paraId="17B7550C">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黑益旺</w:t>
            </w:r>
          </w:p>
        </w:tc>
        <w:tc>
          <w:tcPr>
            <w:tcW w:w="784" w:type="pct"/>
            <w:vAlign w:val="center"/>
          </w:tcPr>
          <w:p w14:paraId="65129789">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15-15-15</w:t>
            </w:r>
          </w:p>
        </w:tc>
        <w:tc>
          <w:tcPr>
            <w:tcW w:w="1175" w:type="pct"/>
            <w:vAlign w:val="center"/>
          </w:tcPr>
          <w:p w14:paraId="49FB37AA">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原料样品</w:t>
            </w:r>
          </w:p>
        </w:tc>
        <w:tc>
          <w:tcPr>
            <w:tcW w:w="914" w:type="pct"/>
            <w:vAlign w:val="center"/>
          </w:tcPr>
          <w:p w14:paraId="1C4CE941">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低氯</w:t>
            </w:r>
          </w:p>
        </w:tc>
        <w:tc>
          <w:tcPr>
            <w:tcW w:w="491" w:type="pct"/>
            <w:vAlign w:val="center"/>
          </w:tcPr>
          <w:p w14:paraId="28025608">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白色</w:t>
            </w:r>
          </w:p>
        </w:tc>
      </w:tr>
      <w:tr w14:paraId="7B392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64010B9E">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20</w:t>
            </w:r>
            <w:r>
              <w:rPr>
                <w:rFonts w:ascii="Times New Roman" w:hAnsi="Times New Roman" w:eastAsia="宋体" w:cs="Times New Roman"/>
                <w:sz w:val="21"/>
                <w:szCs w:val="21"/>
              </w:rPr>
              <w:t>）</w:t>
            </w:r>
          </w:p>
        </w:tc>
        <w:tc>
          <w:tcPr>
            <w:tcW w:w="1109" w:type="pct"/>
            <w:vAlign w:val="center"/>
          </w:tcPr>
          <w:p w14:paraId="2D45548D">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黑益旺</w:t>
            </w:r>
          </w:p>
        </w:tc>
        <w:tc>
          <w:tcPr>
            <w:tcW w:w="784" w:type="pct"/>
            <w:vAlign w:val="center"/>
          </w:tcPr>
          <w:p w14:paraId="6661AFB2">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15-15-15</w:t>
            </w:r>
          </w:p>
        </w:tc>
        <w:tc>
          <w:tcPr>
            <w:tcW w:w="1175" w:type="pct"/>
            <w:vAlign w:val="center"/>
          </w:tcPr>
          <w:p w14:paraId="1C77C1D0">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w:t>
            </w:r>
          </w:p>
        </w:tc>
        <w:tc>
          <w:tcPr>
            <w:tcW w:w="914" w:type="pct"/>
            <w:vAlign w:val="center"/>
          </w:tcPr>
          <w:p w14:paraId="5DA5B1DF">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低氯</w:t>
            </w:r>
          </w:p>
        </w:tc>
        <w:tc>
          <w:tcPr>
            <w:tcW w:w="491" w:type="pct"/>
            <w:vAlign w:val="center"/>
          </w:tcPr>
          <w:p w14:paraId="3B1D2EAC">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白色</w:t>
            </w:r>
          </w:p>
        </w:tc>
      </w:tr>
      <w:tr w14:paraId="6CB9A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3217A9A7">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21</w:t>
            </w:r>
            <w:r>
              <w:rPr>
                <w:rFonts w:hint="eastAsia" w:ascii="Times New Roman" w:hAnsi="Times New Roman" w:eastAsia="宋体" w:cs="Times New Roman"/>
                <w:sz w:val="21"/>
                <w:szCs w:val="21"/>
              </w:rPr>
              <w:t>）</w:t>
            </w:r>
          </w:p>
        </w:tc>
        <w:tc>
          <w:tcPr>
            <w:tcW w:w="1109" w:type="pct"/>
            <w:vAlign w:val="center"/>
          </w:tcPr>
          <w:p w14:paraId="3FA514F4">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浙江巨龙</w:t>
            </w:r>
          </w:p>
        </w:tc>
        <w:tc>
          <w:tcPr>
            <w:tcW w:w="784" w:type="pct"/>
            <w:vAlign w:val="center"/>
          </w:tcPr>
          <w:p w14:paraId="70AFA316">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26-11-11</w:t>
            </w:r>
          </w:p>
        </w:tc>
        <w:tc>
          <w:tcPr>
            <w:tcW w:w="1175" w:type="pct"/>
            <w:vAlign w:val="center"/>
          </w:tcPr>
          <w:p w14:paraId="450A43B3">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成品</w:t>
            </w:r>
          </w:p>
        </w:tc>
        <w:tc>
          <w:tcPr>
            <w:tcW w:w="914" w:type="pct"/>
            <w:vAlign w:val="center"/>
          </w:tcPr>
          <w:p w14:paraId="1F241757">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低氯</w:t>
            </w:r>
          </w:p>
        </w:tc>
        <w:tc>
          <w:tcPr>
            <w:tcW w:w="491" w:type="pct"/>
            <w:vAlign w:val="center"/>
          </w:tcPr>
          <w:p w14:paraId="1E910148">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白色</w:t>
            </w:r>
          </w:p>
        </w:tc>
      </w:tr>
      <w:tr w14:paraId="72D8C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5ED83DF1">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22</w:t>
            </w:r>
            <w:r>
              <w:rPr>
                <w:rFonts w:hint="eastAsia" w:ascii="Times New Roman" w:hAnsi="Times New Roman" w:eastAsia="宋体" w:cs="Times New Roman"/>
                <w:sz w:val="21"/>
                <w:szCs w:val="21"/>
              </w:rPr>
              <w:t>）</w:t>
            </w:r>
          </w:p>
        </w:tc>
        <w:tc>
          <w:tcPr>
            <w:tcW w:w="1109" w:type="pct"/>
            <w:vAlign w:val="center"/>
          </w:tcPr>
          <w:p w14:paraId="6F9D6C99">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浙江巨龙</w:t>
            </w:r>
          </w:p>
        </w:tc>
        <w:tc>
          <w:tcPr>
            <w:tcW w:w="784" w:type="pct"/>
            <w:vAlign w:val="center"/>
          </w:tcPr>
          <w:p w14:paraId="6E754DB2">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16-16-16</w:t>
            </w:r>
          </w:p>
        </w:tc>
        <w:tc>
          <w:tcPr>
            <w:tcW w:w="1175" w:type="pct"/>
            <w:vAlign w:val="center"/>
          </w:tcPr>
          <w:p w14:paraId="2194BF13">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成品</w:t>
            </w:r>
          </w:p>
        </w:tc>
        <w:tc>
          <w:tcPr>
            <w:tcW w:w="914" w:type="pct"/>
            <w:vAlign w:val="center"/>
          </w:tcPr>
          <w:p w14:paraId="1126E103">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硫</w:t>
            </w:r>
          </w:p>
        </w:tc>
        <w:tc>
          <w:tcPr>
            <w:tcW w:w="491" w:type="pct"/>
            <w:vAlign w:val="center"/>
          </w:tcPr>
          <w:p w14:paraId="1EE607A6">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白色</w:t>
            </w:r>
          </w:p>
        </w:tc>
      </w:tr>
      <w:tr w14:paraId="3AE01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655C9241">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w:t>
            </w:r>
            <w:r>
              <w:rPr>
                <w:rFonts w:ascii="Times New Roman" w:hAnsi="Times New Roman" w:eastAsia="宋体" w:cs="Times New Roman"/>
                <w:sz w:val="21"/>
                <w:szCs w:val="21"/>
              </w:rPr>
              <w:t>3）</w:t>
            </w:r>
          </w:p>
        </w:tc>
        <w:tc>
          <w:tcPr>
            <w:tcW w:w="1109" w:type="pct"/>
            <w:vAlign w:val="center"/>
          </w:tcPr>
          <w:p w14:paraId="50B68AD3">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浙江巨龙</w:t>
            </w:r>
          </w:p>
        </w:tc>
        <w:tc>
          <w:tcPr>
            <w:tcW w:w="784" w:type="pct"/>
            <w:vAlign w:val="center"/>
          </w:tcPr>
          <w:p w14:paraId="15084D09">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14-8-23</w:t>
            </w:r>
          </w:p>
        </w:tc>
        <w:tc>
          <w:tcPr>
            <w:tcW w:w="1175" w:type="pct"/>
            <w:vAlign w:val="center"/>
          </w:tcPr>
          <w:p w14:paraId="1B06E536">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成品</w:t>
            </w:r>
          </w:p>
        </w:tc>
        <w:tc>
          <w:tcPr>
            <w:tcW w:w="914" w:type="pct"/>
            <w:vAlign w:val="center"/>
          </w:tcPr>
          <w:p w14:paraId="6BF4084F">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硫</w:t>
            </w:r>
          </w:p>
        </w:tc>
        <w:tc>
          <w:tcPr>
            <w:tcW w:w="491" w:type="pct"/>
            <w:vAlign w:val="center"/>
          </w:tcPr>
          <w:p w14:paraId="750146FF">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白色</w:t>
            </w:r>
          </w:p>
        </w:tc>
      </w:tr>
      <w:tr w14:paraId="1D7CE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66367DF9">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24</w:t>
            </w:r>
            <w:r>
              <w:rPr>
                <w:rFonts w:ascii="Times New Roman" w:hAnsi="Times New Roman" w:eastAsia="宋体" w:cs="Times New Roman"/>
                <w:sz w:val="21"/>
                <w:szCs w:val="21"/>
              </w:rPr>
              <w:t>）</w:t>
            </w:r>
          </w:p>
        </w:tc>
        <w:tc>
          <w:tcPr>
            <w:tcW w:w="1109" w:type="pct"/>
            <w:vAlign w:val="center"/>
          </w:tcPr>
          <w:p w14:paraId="7789283C">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金仓 四川A客户</w:t>
            </w:r>
          </w:p>
        </w:tc>
        <w:tc>
          <w:tcPr>
            <w:tcW w:w="784" w:type="pct"/>
            <w:vAlign w:val="center"/>
          </w:tcPr>
          <w:p w14:paraId="0572D46A">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FF0000"/>
                <w:kern w:val="0"/>
                <w:sz w:val="21"/>
                <w:szCs w:val="21"/>
                <w:u w:val="none"/>
                <w:lang w:val="en-US" w:eastAsia="zh-CN" w:bidi="ar"/>
              </w:rPr>
              <w:t>15-15-23</w:t>
            </w:r>
          </w:p>
        </w:tc>
        <w:tc>
          <w:tcPr>
            <w:tcW w:w="1175" w:type="pct"/>
            <w:vAlign w:val="center"/>
          </w:tcPr>
          <w:p w14:paraId="52FDC919">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FF0000"/>
                <w:kern w:val="0"/>
                <w:sz w:val="21"/>
                <w:szCs w:val="21"/>
                <w:u w:val="none"/>
                <w:lang w:val="en-US" w:eastAsia="zh-CN" w:bidi="ar"/>
              </w:rPr>
              <w:t>尿基复合肥</w:t>
            </w:r>
          </w:p>
        </w:tc>
        <w:tc>
          <w:tcPr>
            <w:tcW w:w="914" w:type="pct"/>
            <w:vAlign w:val="center"/>
          </w:tcPr>
          <w:p w14:paraId="347986C0">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DMPP:0.037%</w:t>
            </w:r>
          </w:p>
        </w:tc>
        <w:tc>
          <w:tcPr>
            <w:tcW w:w="491" w:type="pct"/>
            <w:vAlign w:val="center"/>
          </w:tcPr>
          <w:p w14:paraId="1A0A7EA0">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白色</w:t>
            </w:r>
          </w:p>
        </w:tc>
      </w:tr>
      <w:tr w14:paraId="355CB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5C3680BB">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w:t>
            </w:r>
            <w:r>
              <w:rPr>
                <w:rFonts w:ascii="Times New Roman" w:hAnsi="Times New Roman" w:eastAsia="宋体" w:cs="Times New Roman"/>
                <w:sz w:val="21"/>
                <w:szCs w:val="21"/>
              </w:rPr>
              <w:t>5）</w:t>
            </w:r>
          </w:p>
        </w:tc>
        <w:tc>
          <w:tcPr>
            <w:tcW w:w="1109" w:type="pct"/>
            <w:vAlign w:val="center"/>
          </w:tcPr>
          <w:p w14:paraId="73B79D82">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金仓 广东A客户</w:t>
            </w:r>
          </w:p>
        </w:tc>
        <w:tc>
          <w:tcPr>
            <w:tcW w:w="784" w:type="pct"/>
            <w:vAlign w:val="center"/>
          </w:tcPr>
          <w:p w14:paraId="68E7AEE4">
            <w:pPr>
              <w:keepLines w:val="0"/>
              <w:pageBreakBefore w:val="0"/>
              <w:wordWrap/>
              <w:overflowPunct/>
              <w:topLinePunct w:val="0"/>
              <w:bidi w:val="0"/>
              <w:spacing w:line="360" w:lineRule="auto"/>
              <w:jc w:val="left"/>
              <w:rPr>
                <w:rFonts w:hint="eastAsia" w:ascii="Times New Roman" w:hAnsi="Times New Roman" w:eastAsia="宋体" w:cs="Times New Roman"/>
                <w:sz w:val="21"/>
                <w:szCs w:val="21"/>
              </w:rPr>
            </w:pPr>
          </w:p>
        </w:tc>
        <w:tc>
          <w:tcPr>
            <w:tcW w:w="1175" w:type="pct"/>
            <w:vAlign w:val="center"/>
          </w:tcPr>
          <w:p w14:paraId="61E49AE1">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复合肥</w:t>
            </w:r>
          </w:p>
        </w:tc>
        <w:tc>
          <w:tcPr>
            <w:tcW w:w="914" w:type="pct"/>
            <w:vAlign w:val="center"/>
          </w:tcPr>
          <w:p w14:paraId="6B852C33">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DMPP:0.025%</w:t>
            </w:r>
          </w:p>
        </w:tc>
        <w:tc>
          <w:tcPr>
            <w:tcW w:w="491" w:type="pct"/>
            <w:vAlign w:val="center"/>
          </w:tcPr>
          <w:p w14:paraId="696D5E9B">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白色</w:t>
            </w:r>
          </w:p>
        </w:tc>
      </w:tr>
      <w:tr w14:paraId="6CE7B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02C38667">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w:t>
            </w:r>
            <w:r>
              <w:rPr>
                <w:rFonts w:ascii="Times New Roman" w:hAnsi="Times New Roman" w:eastAsia="宋体" w:cs="Times New Roman"/>
                <w:sz w:val="21"/>
                <w:szCs w:val="21"/>
              </w:rPr>
              <w:t>6）</w:t>
            </w:r>
          </w:p>
        </w:tc>
        <w:tc>
          <w:tcPr>
            <w:tcW w:w="1109" w:type="pct"/>
            <w:vAlign w:val="center"/>
          </w:tcPr>
          <w:p w14:paraId="1073D18E">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金仓 湖北B客户</w:t>
            </w:r>
          </w:p>
        </w:tc>
        <w:tc>
          <w:tcPr>
            <w:tcW w:w="784" w:type="pct"/>
            <w:vAlign w:val="center"/>
          </w:tcPr>
          <w:p w14:paraId="3E15294D">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FF0000"/>
                <w:kern w:val="0"/>
                <w:sz w:val="21"/>
                <w:szCs w:val="21"/>
                <w:u w:val="none"/>
                <w:lang w:val="en-US" w:eastAsia="zh-CN" w:bidi="ar"/>
              </w:rPr>
              <w:t>复合肥</w:t>
            </w:r>
          </w:p>
        </w:tc>
        <w:tc>
          <w:tcPr>
            <w:tcW w:w="1175" w:type="pct"/>
            <w:vAlign w:val="center"/>
          </w:tcPr>
          <w:p w14:paraId="7B40BBB5">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复合肥</w:t>
            </w:r>
          </w:p>
        </w:tc>
        <w:tc>
          <w:tcPr>
            <w:tcW w:w="914" w:type="pct"/>
            <w:vAlign w:val="center"/>
          </w:tcPr>
          <w:p w14:paraId="10E1B68C">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DMPP:0.04%</w:t>
            </w:r>
          </w:p>
        </w:tc>
        <w:tc>
          <w:tcPr>
            <w:tcW w:w="491" w:type="pct"/>
            <w:vAlign w:val="center"/>
          </w:tcPr>
          <w:p w14:paraId="7D5437F8">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橘色</w:t>
            </w:r>
          </w:p>
        </w:tc>
      </w:tr>
      <w:tr w14:paraId="657CA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721FCAA7">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w:t>
            </w:r>
            <w:r>
              <w:rPr>
                <w:rFonts w:hint="eastAsia" w:ascii="Times New Roman" w:hAnsi="Times New Roman" w:eastAsia="宋体" w:cs="Times New Roman"/>
                <w:sz w:val="21"/>
                <w:szCs w:val="21"/>
              </w:rPr>
              <w:t>7）</w:t>
            </w:r>
          </w:p>
        </w:tc>
        <w:tc>
          <w:tcPr>
            <w:tcW w:w="1109" w:type="pct"/>
            <w:vAlign w:val="center"/>
          </w:tcPr>
          <w:p w14:paraId="77F3AB19">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金仓 湖北A客户</w:t>
            </w:r>
          </w:p>
        </w:tc>
        <w:tc>
          <w:tcPr>
            <w:tcW w:w="784" w:type="pct"/>
            <w:vAlign w:val="center"/>
          </w:tcPr>
          <w:p w14:paraId="74342D33">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FF0000"/>
                <w:kern w:val="0"/>
                <w:sz w:val="21"/>
                <w:szCs w:val="21"/>
                <w:u w:val="none"/>
                <w:lang w:val="en-US" w:eastAsia="zh-CN" w:bidi="ar"/>
              </w:rPr>
              <w:t>13-6-29 错</w:t>
            </w:r>
          </w:p>
        </w:tc>
        <w:tc>
          <w:tcPr>
            <w:tcW w:w="1175" w:type="pct"/>
            <w:vAlign w:val="center"/>
          </w:tcPr>
          <w:p w14:paraId="04C3FEC4">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FF0000"/>
                <w:kern w:val="0"/>
                <w:sz w:val="21"/>
                <w:szCs w:val="21"/>
                <w:u w:val="none"/>
                <w:lang w:val="en-US" w:eastAsia="zh-CN" w:bidi="ar"/>
              </w:rPr>
              <w:t>硝基复合肥</w:t>
            </w:r>
          </w:p>
        </w:tc>
        <w:tc>
          <w:tcPr>
            <w:tcW w:w="914" w:type="pct"/>
            <w:vAlign w:val="center"/>
          </w:tcPr>
          <w:p w14:paraId="7BF9EC05">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DMPP:0.05%</w:t>
            </w:r>
          </w:p>
        </w:tc>
        <w:tc>
          <w:tcPr>
            <w:tcW w:w="491" w:type="pct"/>
            <w:vAlign w:val="center"/>
          </w:tcPr>
          <w:p w14:paraId="16DE8510">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黑色</w:t>
            </w:r>
          </w:p>
        </w:tc>
      </w:tr>
      <w:tr w14:paraId="2E063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5B54B58D">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w:t>
            </w:r>
            <w:r>
              <w:rPr>
                <w:rFonts w:hint="eastAsia" w:ascii="Times New Roman" w:hAnsi="Times New Roman" w:eastAsia="宋体" w:cs="Times New Roman"/>
                <w:sz w:val="21"/>
                <w:szCs w:val="21"/>
              </w:rPr>
              <w:t>8）</w:t>
            </w:r>
          </w:p>
        </w:tc>
        <w:tc>
          <w:tcPr>
            <w:tcW w:w="1109" w:type="pct"/>
            <w:vAlign w:val="center"/>
          </w:tcPr>
          <w:p w14:paraId="3DBA34D0">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天宝丰</w:t>
            </w:r>
          </w:p>
        </w:tc>
        <w:tc>
          <w:tcPr>
            <w:tcW w:w="784" w:type="pct"/>
            <w:vAlign w:val="center"/>
          </w:tcPr>
          <w:p w14:paraId="4B3502E7">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22-8-10</w:t>
            </w:r>
          </w:p>
        </w:tc>
        <w:tc>
          <w:tcPr>
            <w:tcW w:w="1175" w:type="pct"/>
            <w:vAlign w:val="center"/>
          </w:tcPr>
          <w:p w14:paraId="03AB8CC5">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NAM:6kg</w:t>
            </w:r>
          </w:p>
        </w:tc>
        <w:tc>
          <w:tcPr>
            <w:tcW w:w="914" w:type="pct"/>
            <w:vAlign w:val="center"/>
          </w:tcPr>
          <w:p w14:paraId="7FBED5D6">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造粒筒</w:t>
            </w:r>
          </w:p>
        </w:tc>
        <w:tc>
          <w:tcPr>
            <w:tcW w:w="491" w:type="pct"/>
            <w:vAlign w:val="center"/>
          </w:tcPr>
          <w:p w14:paraId="7E0A8E65">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绿色</w:t>
            </w:r>
          </w:p>
        </w:tc>
      </w:tr>
      <w:tr w14:paraId="2F05B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5C3CB564">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29</w:t>
            </w:r>
            <w:r>
              <w:rPr>
                <w:rFonts w:ascii="Times New Roman" w:hAnsi="Times New Roman" w:eastAsia="宋体" w:cs="Times New Roman"/>
                <w:sz w:val="21"/>
                <w:szCs w:val="21"/>
              </w:rPr>
              <w:t>）</w:t>
            </w:r>
          </w:p>
        </w:tc>
        <w:tc>
          <w:tcPr>
            <w:tcW w:w="1109" w:type="pct"/>
            <w:vAlign w:val="center"/>
          </w:tcPr>
          <w:p w14:paraId="1189E5F3">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天宝丰</w:t>
            </w:r>
          </w:p>
        </w:tc>
        <w:tc>
          <w:tcPr>
            <w:tcW w:w="784" w:type="pct"/>
            <w:vAlign w:val="center"/>
          </w:tcPr>
          <w:p w14:paraId="497B313F">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22-8-10</w:t>
            </w:r>
          </w:p>
        </w:tc>
        <w:tc>
          <w:tcPr>
            <w:tcW w:w="1175" w:type="pct"/>
            <w:vAlign w:val="center"/>
          </w:tcPr>
          <w:p w14:paraId="6450D586">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NAM:6kg</w:t>
            </w:r>
          </w:p>
        </w:tc>
        <w:tc>
          <w:tcPr>
            <w:tcW w:w="914" w:type="pct"/>
            <w:vAlign w:val="center"/>
          </w:tcPr>
          <w:p w14:paraId="04F7BF94">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成品</w:t>
            </w:r>
          </w:p>
        </w:tc>
        <w:tc>
          <w:tcPr>
            <w:tcW w:w="491" w:type="pct"/>
            <w:vAlign w:val="center"/>
          </w:tcPr>
          <w:p w14:paraId="25E21361">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绿色</w:t>
            </w:r>
          </w:p>
        </w:tc>
      </w:tr>
      <w:tr w14:paraId="3248C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29C8E1F8">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30</w:t>
            </w:r>
            <w:r>
              <w:rPr>
                <w:rFonts w:ascii="Times New Roman" w:hAnsi="Times New Roman" w:eastAsia="宋体" w:cs="Times New Roman"/>
                <w:sz w:val="21"/>
                <w:szCs w:val="21"/>
              </w:rPr>
              <w:t>）</w:t>
            </w:r>
          </w:p>
        </w:tc>
        <w:tc>
          <w:tcPr>
            <w:tcW w:w="1109" w:type="pct"/>
            <w:vAlign w:val="center"/>
          </w:tcPr>
          <w:p w14:paraId="55C8822D">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蓝天宝丰</w:t>
            </w:r>
          </w:p>
        </w:tc>
        <w:tc>
          <w:tcPr>
            <w:tcW w:w="784" w:type="pct"/>
            <w:vAlign w:val="center"/>
          </w:tcPr>
          <w:p w14:paraId="45038F6A">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20-5-7</w:t>
            </w:r>
          </w:p>
        </w:tc>
        <w:tc>
          <w:tcPr>
            <w:tcW w:w="1175" w:type="pct"/>
            <w:vAlign w:val="center"/>
          </w:tcPr>
          <w:p w14:paraId="15F4FFEC">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过包膜油粉料斗处</w:t>
            </w:r>
          </w:p>
        </w:tc>
        <w:tc>
          <w:tcPr>
            <w:tcW w:w="914" w:type="pct"/>
            <w:vAlign w:val="center"/>
          </w:tcPr>
          <w:p w14:paraId="75BBC274">
            <w:pPr>
              <w:keepLines w:val="0"/>
              <w:pageBreakBefore w:val="0"/>
              <w:wordWrap/>
              <w:overflowPunct/>
              <w:topLinePunct w:val="0"/>
              <w:bidi w:val="0"/>
              <w:spacing w:line="360" w:lineRule="auto"/>
              <w:rPr>
                <w:rFonts w:hint="eastAsia" w:ascii="Times New Roman" w:hAnsi="Times New Roman" w:eastAsia="宋体" w:cs="Times New Roman"/>
                <w:sz w:val="21"/>
                <w:szCs w:val="21"/>
              </w:rPr>
            </w:pPr>
          </w:p>
        </w:tc>
        <w:tc>
          <w:tcPr>
            <w:tcW w:w="491" w:type="pct"/>
            <w:vAlign w:val="center"/>
          </w:tcPr>
          <w:p w14:paraId="4DEFCEF2">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绿色</w:t>
            </w:r>
          </w:p>
        </w:tc>
      </w:tr>
      <w:tr w14:paraId="20803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12CDE64F">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31</w:t>
            </w:r>
            <w:r>
              <w:rPr>
                <w:rFonts w:ascii="Times New Roman" w:hAnsi="Times New Roman" w:eastAsia="宋体" w:cs="Times New Roman"/>
                <w:sz w:val="21"/>
                <w:szCs w:val="21"/>
              </w:rPr>
              <w:t>）</w:t>
            </w:r>
          </w:p>
        </w:tc>
        <w:tc>
          <w:tcPr>
            <w:tcW w:w="1109" w:type="pct"/>
            <w:vAlign w:val="center"/>
          </w:tcPr>
          <w:p w14:paraId="3AEB03AD">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蓝天宝丰</w:t>
            </w:r>
          </w:p>
        </w:tc>
        <w:tc>
          <w:tcPr>
            <w:tcW w:w="784" w:type="pct"/>
            <w:vAlign w:val="center"/>
          </w:tcPr>
          <w:p w14:paraId="040F059B">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20-5-7</w:t>
            </w:r>
          </w:p>
        </w:tc>
        <w:tc>
          <w:tcPr>
            <w:tcW w:w="1175" w:type="pct"/>
            <w:vAlign w:val="center"/>
          </w:tcPr>
          <w:p w14:paraId="1B03FFA7">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造粒筒出口处</w:t>
            </w:r>
          </w:p>
        </w:tc>
        <w:tc>
          <w:tcPr>
            <w:tcW w:w="914" w:type="pct"/>
            <w:vAlign w:val="center"/>
          </w:tcPr>
          <w:p w14:paraId="7171FE9C">
            <w:pPr>
              <w:keepLines w:val="0"/>
              <w:pageBreakBefore w:val="0"/>
              <w:wordWrap/>
              <w:overflowPunct/>
              <w:topLinePunct w:val="0"/>
              <w:bidi w:val="0"/>
              <w:spacing w:line="360" w:lineRule="auto"/>
              <w:rPr>
                <w:rFonts w:hint="eastAsia" w:ascii="Times New Roman" w:hAnsi="Times New Roman" w:eastAsia="宋体" w:cs="Times New Roman"/>
                <w:sz w:val="21"/>
                <w:szCs w:val="21"/>
              </w:rPr>
            </w:pPr>
          </w:p>
        </w:tc>
        <w:tc>
          <w:tcPr>
            <w:tcW w:w="491" w:type="pct"/>
            <w:vAlign w:val="center"/>
          </w:tcPr>
          <w:p w14:paraId="3ABA2E38">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绿色</w:t>
            </w:r>
          </w:p>
        </w:tc>
      </w:tr>
      <w:tr w14:paraId="30871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1EFC2E70">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3</w:t>
            </w:r>
            <w:r>
              <w:rPr>
                <w:rFonts w:ascii="Times New Roman" w:hAnsi="Times New Roman" w:eastAsia="宋体" w:cs="Times New Roman"/>
                <w:sz w:val="21"/>
                <w:szCs w:val="21"/>
              </w:rPr>
              <w:t>2）</w:t>
            </w:r>
          </w:p>
        </w:tc>
        <w:tc>
          <w:tcPr>
            <w:tcW w:w="1109" w:type="pct"/>
            <w:vAlign w:val="center"/>
          </w:tcPr>
          <w:p w14:paraId="00264C57">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中嘉化肥</w:t>
            </w:r>
          </w:p>
        </w:tc>
        <w:tc>
          <w:tcPr>
            <w:tcW w:w="784" w:type="pct"/>
            <w:vAlign w:val="center"/>
          </w:tcPr>
          <w:p w14:paraId="38F24AAD">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26-10-12</w:t>
            </w:r>
          </w:p>
        </w:tc>
        <w:tc>
          <w:tcPr>
            <w:tcW w:w="1175" w:type="pct"/>
            <w:vAlign w:val="center"/>
          </w:tcPr>
          <w:p w14:paraId="49CF0FE4">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氯基（低氯）</w:t>
            </w:r>
          </w:p>
        </w:tc>
        <w:tc>
          <w:tcPr>
            <w:tcW w:w="914" w:type="pct"/>
            <w:vAlign w:val="center"/>
          </w:tcPr>
          <w:p w14:paraId="1FC56E70">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粒</w:t>
            </w:r>
          </w:p>
        </w:tc>
        <w:tc>
          <w:tcPr>
            <w:tcW w:w="491" w:type="pct"/>
            <w:vAlign w:val="center"/>
          </w:tcPr>
          <w:p w14:paraId="496DB2C0">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蓝色</w:t>
            </w:r>
          </w:p>
        </w:tc>
      </w:tr>
      <w:tr w14:paraId="1DAAF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13435DF9">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3</w:t>
            </w:r>
            <w:r>
              <w:rPr>
                <w:rFonts w:ascii="Times New Roman" w:hAnsi="Times New Roman" w:eastAsia="宋体" w:cs="Times New Roman"/>
                <w:sz w:val="21"/>
                <w:szCs w:val="21"/>
              </w:rPr>
              <w:t>3）</w:t>
            </w:r>
          </w:p>
        </w:tc>
        <w:tc>
          <w:tcPr>
            <w:tcW w:w="1109" w:type="pct"/>
            <w:vAlign w:val="center"/>
          </w:tcPr>
          <w:p w14:paraId="4CFB9074">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中嘉化肥</w:t>
            </w:r>
          </w:p>
        </w:tc>
        <w:tc>
          <w:tcPr>
            <w:tcW w:w="784" w:type="pct"/>
            <w:vAlign w:val="center"/>
          </w:tcPr>
          <w:p w14:paraId="3F7D3EF5">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26-10-12</w:t>
            </w:r>
          </w:p>
        </w:tc>
        <w:tc>
          <w:tcPr>
            <w:tcW w:w="1175" w:type="pct"/>
            <w:vAlign w:val="center"/>
          </w:tcPr>
          <w:p w14:paraId="14946393">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氯基（低氯）</w:t>
            </w:r>
          </w:p>
        </w:tc>
        <w:tc>
          <w:tcPr>
            <w:tcW w:w="914" w:type="pct"/>
            <w:vAlign w:val="center"/>
          </w:tcPr>
          <w:p w14:paraId="488F2B2C">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粉</w:t>
            </w:r>
          </w:p>
        </w:tc>
        <w:tc>
          <w:tcPr>
            <w:tcW w:w="491" w:type="pct"/>
            <w:vAlign w:val="center"/>
          </w:tcPr>
          <w:p w14:paraId="4D925AAF">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蓝色</w:t>
            </w:r>
          </w:p>
        </w:tc>
      </w:tr>
      <w:tr w14:paraId="06F89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3F216C72">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3</w:t>
            </w:r>
            <w:r>
              <w:rPr>
                <w:rFonts w:ascii="Times New Roman" w:hAnsi="Times New Roman" w:eastAsia="宋体" w:cs="Times New Roman"/>
                <w:sz w:val="21"/>
                <w:szCs w:val="21"/>
              </w:rPr>
              <w:t>4）</w:t>
            </w:r>
          </w:p>
        </w:tc>
        <w:tc>
          <w:tcPr>
            <w:tcW w:w="1109" w:type="pct"/>
            <w:vAlign w:val="center"/>
          </w:tcPr>
          <w:p w14:paraId="732A27D2">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山东祥云</w:t>
            </w:r>
          </w:p>
        </w:tc>
        <w:tc>
          <w:tcPr>
            <w:tcW w:w="784" w:type="pct"/>
            <w:vAlign w:val="center"/>
          </w:tcPr>
          <w:p w14:paraId="4BED08A0">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26-10-12</w:t>
            </w:r>
          </w:p>
        </w:tc>
        <w:tc>
          <w:tcPr>
            <w:tcW w:w="1175" w:type="pct"/>
            <w:vAlign w:val="center"/>
          </w:tcPr>
          <w:p w14:paraId="3119F4A8">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低氯</w:t>
            </w:r>
          </w:p>
        </w:tc>
        <w:tc>
          <w:tcPr>
            <w:tcW w:w="914" w:type="pct"/>
            <w:vAlign w:val="center"/>
          </w:tcPr>
          <w:p w14:paraId="06A837B2">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1</w:t>
            </w:r>
          </w:p>
        </w:tc>
        <w:tc>
          <w:tcPr>
            <w:tcW w:w="491" w:type="pct"/>
            <w:vAlign w:val="center"/>
          </w:tcPr>
          <w:p w14:paraId="5D16810C">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黄色</w:t>
            </w:r>
          </w:p>
        </w:tc>
      </w:tr>
      <w:tr w14:paraId="1CD1B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2CDDFEBA">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3</w:t>
            </w:r>
            <w:r>
              <w:rPr>
                <w:rFonts w:ascii="Times New Roman" w:hAnsi="Times New Roman" w:eastAsia="宋体" w:cs="Times New Roman"/>
                <w:sz w:val="21"/>
                <w:szCs w:val="21"/>
              </w:rPr>
              <w:t>5）</w:t>
            </w:r>
          </w:p>
        </w:tc>
        <w:tc>
          <w:tcPr>
            <w:tcW w:w="1109" w:type="pct"/>
            <w:vAlign w:val="center"/>
          </w:tcPr>
          <w:p w14:paraId="7590C4DE">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山东祥云</w:t>
            </w:r>
          </w:p>
        </w:tc>
        <w:tc>
          <w:tcPr>
            <w:tcW w:w="784" w:type="pct"/>
            <w:vAlign w:val="center"/>
          </w:tcPr>
          <w:p w14:paraId="7190EC4D">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26-10-12</w:t>
            </w:r>
          </w:p>
        </w:tc>
        <w:tc>
          <w:tcPr>
            <w:tcW w:w="1175" w:type="pct"/>
            <w:vAlign w:val="center"/>
          </w:tcPr>
          <w:p w14:paraId="246FBF5A">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低氯</w:t>
            </w:r>
          </w:p>
        </w:tc>
        <w:tc>
          <w:tcPr>
            <w:tcW w:w="914" w:type="pct"/>
            <w:vAlign w:val="center"/>
          </w:tcPr>
          <w:p w14:paraId="1E345D3D">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w:t>
            </w:r>
          </w:p>
        </w:tc>
        <w:tc>
          <w:tcPr>
            <w:tcW w:w="491" w:type="pct"/>
            <w:vAlign w:val="center"/>
          </w:tcPr>
          <w:p w14:paraId="6B21A302">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黄色</w:t>
            </w:r>
          </w:p>
        </w:tc>
      </w:tr>
      <w:tr w14:paraId="15E59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611E3596">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3</w:t>
            </w:r>
            <w:r>
              <w:rPr>
                <w:rFonts w:ascii="Times New Roman" w:hAnsi="Times New Roman" w:eastAsia="宋体" w:cs="Times New Roman"/>
                <w:sz w:val="21"/>
                <w:szCs w:val="21"/>
              </w:rPr>
              <w:t>6）</w:t>
            </w:r>
          </w:p>
        </w:tc>
        <w:tc>
          <w:tcPr>
            <w:tcW w:w="1109" w:type="pct"/>
            <w:vAlign w:val="center"/>
          </w:tcPr>
          <w:p w14:paraId="2E1E34B0">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中科国投</w:t>
            </w:r>
          </w:p>
        </w:tc>
        <w:tc>
          <w:tcPr>
            <w:tcW w:w="784" w:type="pct"/>
            <w:vAlign w:val="center"/>
          </w:tcPr>
          <w:p w14:paraId="0FA8031B">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26-10-12</w:t>
            </w:r>
          </w:p>
        </w:tc>
        <w:tc>
          <w:tcPr>
            <w:tcW w:w="1175" w:type="pct"/>
            <w:vAlign w:val="center"/>
          </w:tcPr>
          <w:p w14:paraId="388BBA79">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烘干前</w:t>
            </w:r>
          </w:p>
        </w:tc>
        <w:tc>
          <w:tcPr>
            <w:tcW w:w="914" w:type="pct"/>
            <w:vAlign w:val="center"/>
          </w:tcPr>
          <w:p w14:paraId="35C50F18">
            <w:pPr>
              <w:keepLines w:val="0"/>
              <w:pageBreakBefore w:val="0"/>
              <w:wordWrap/>
              <w:overflowPunct/>
              <w:topLinePunct w:val="0"/>
              <w:bidi w:val="0"/>
              <w:spacing w:line="360" w:lineRule="auto"/>
              <w:rPr>
                <w:rFonts w:hint="eastAsia" w:ascii="Times New Roman" w:hAnsi="Times New Roman" w:eastAsia="宋体" w:cs="Times New Roman"/>
                <w:sz w:val="21"/>
                <w:szCs w:val="21"/>
              </w:rPr>
            </w:pPr>
          </w:p>
        </w:tc>
        <w:tc>
          <w:tcPr>
            <w:tcW w:w="491" w:type="pct"/>
            <w:vAlign w:val="center"/>
          </w:tcPr>
          <w:p w14:paraId="326A90BA">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黄色</w:t>
            </w:r>
          </w:p>
        </w:tc>
      </w:tr>
      <w:tr w14:paraId="12EF3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2A597C7E">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3</w:t>
            </w:r>
            <w:r>
              <w:rPr>
                <w:rFonts w:hint="eastAsia" w:ascii="Times New Roman" w:hAnsi="Times New Roman" w:eastAsia="宋体" w:cs="Times New Roman"/>
                <w:sz w:val="21"/>
                <w:szCs w:val="21"/>
              </w:rPr>
              <w:t>7）</w:t>
            </w:r>
          </w:p>
        </w:tc>
        <w:tc>
          <w:tcPr>
            <w:tcW w:w="1109" w:type="pct"/>
            <w:vAlign w:val="center"/>
          </w:tcPr>
          <w:p w14:paraId="3597BB86">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中科国投</w:t>
            </w:r>
          </w:p>
        </w:tc>
        <w:tc>
          <w:tcPr>
            <w:tcW w:w="784" w:type="pct"/>
            <w:vAlign w:val="center"/>
          </w:tcPr>
          <w:p w14:paraId="07C9C6F9">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26-10-12</w:t>
            </w:r>
          </w:p>
        </w:tc>
        <w:tc>
          <w:tcPr>
            <w:tcW w:w="1175" w:type="pct"/>
            <w:vAlign w:val="center"/>
          </w:tcPr>
          <w:p w14:paraId="3C2B665F">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烘干后</w:t>
            </w:r>
          </w:p>
        </w:tc>
        <w:tc>
          <w:tcPr>
            <w:tcW w:w="914" w:type="pct"/>
            <w:vAlign w:val="center"/>
          </w:tcPr>
          <w:p w14:paraId="2240367A">
            <w:pPr>
              <w:keepLines w:val="0"/>
              <w:pageBreakBefore w:val="0"/>
              <w:wordWrap/>
              <w:overflowPunct/>
              <w:topLinePunct w:val="0"/>
              <w:bidi w:val="0"/>
              <w:spacing w:line="360" w:lineRule="auto"/>
              <w:rPr>
                <w:rFonts w:hint="eastAsia" w:ascii="Times New Roman" w:hAnsi="Times New Roman" w:eastAsia="宋体" w:cs="Times New Roman"/>
                <w:sz w:val="21"/>
                <w:szCs w:val="21"/>
              </w:rPr>
            </w:pPr>
          </w:p>
        </w:tc>
        <w:tc>
          <w:tcPr>
            <w:tcW w:w="491" w:type="pct"/>
            <w:vAlign w:val="center"/>
          </w:tcPr>
          <w:p w14:paraId="51E6E90E">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黄色</w:t>
            </w:r>
          </w:p>
        </w:tc>
      </w:tr>
      <w:tr w14:paraId="64992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3B336686">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3</w:t>
            </w:r>
            <w:r>
              <w:rPr>
                <w:rFonts w:hint="eastAsia" w:ascii="Times New Roman" w:hAnsi="Times New Roman" w:eastAsia="宋体" w:cs="Times New Roman"/>
                <w:sz w:val="21"/>
                <w:szCs w:val="21"/>
              </w:rPr>
              <w:t>8）</w:t>
            </w:r>
          </w:p>
        </w:tc>
        <w:tc>
          <w:tcPr>
            <w:tcW w:w="1109" w:type="pct"/>
            <w:vAlign w:val="center"/>
          </w:tcPr>
          <w:p w14:paraId="4CB23E94">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东北丰</w:t>
            </w:r>
          </w:p>
        </w:tc>
        <w:tc>
          <w:tcPr>
            <w:tcW w:w="784" w:type="pct"/>
            <w:vAlign w:val="center"/>
          </w:tcPr>
          <w:p w14:paraId="11C4669F">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26-11-11</w:t>
            </w:r>
          </w:p>
        </w:tc>
        <w:tc>
          <w:tcPr>
            <w:tcW w:w="1175" w:type="pct"/>
            <w:vAlign w:val="center"/>
          </w:tcPr>
          <w:p w14:paraId="3E23645A">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粒</w:t>
            </w:r>
          </w:p>
        </w:tc>
        <w:tc>
          <w:tcPr>
            <w:tcW w:w="914" w:type="pct"/>
            <w:vAlign w:val="center"/>
          </w:tcPr>
          <w:p w14:paraId="0315D273">
            <w:pPr>
              <w:keepLines w:val="0"/>
              <w:pageBreakBefore w:val="0"/>
              <w:wordWrap/>
              <w:overflowPunct/>
              <w:topLinePunct w:val="0"/>
              <w:bidi w:val="0"/>
              <w:spacing w:line="360" w:lineRule="auto"/>
              <w:rPr>
                <w:rFonts w:hint="eastAsia" w:ascii="Times New Roman" w:hAnsi="Times New Roman" w:eastAsia="宋体" w:cs="Times New Roman"/>
                <w:sz w:val="21"/>
                <w:szCs w:val="21"/>
              </w:rPr>
            </w:pPr>
          </w:p>
        </w:tc>
        <w:tc>
          <w:tcPr>
            <w:tcW w:w="491" w:type="pct"/>
            <w:vAlign w:val="center"/>
          </w:tcPr>
          <w:p w14:paraId="07304F54">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黄色</w:t>
            </w:r>
          </w:p>
        </w:tc>
      </w:tr>
      <w:tr w14:paraId="20CF5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480C612A">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39</w:t>
            </w:r>
            <w:r>
              <w:rPr>
                <w:rFonts w:ascii="Times New Roman" w:hAnsi="Times New Roman" w:eastAsia="宋体" w:cs="Times New Roman"/>
                <w:sz w:val="21"/>
                <w:szCs w:val="21"/>
              </w:rPr>
              <w:t>）</w:t>
            </w:r>
          </w:p>
        </w:tc>
        <w:tc>
          <w:tcPr>
            <w:tcW w:w="1109" w:type="pct"/>
            <w:vAlign w:val="center"/>
          </w:tcPr>
          <w:p w14:paraId="70D3E82B">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东北丰</w:t>
            </w:r>
          </w:p>
        </w:tc>
        <w:tc>
          <w:tcPr>
            <w:tcW w:w="784" w:type="pct"/>
            <w:vAlign w:val="center"/>
          </w:tcPr>
          <w:p w14:paraId="3AD706D6">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26-11-11</w:t>
            </w:r>
          </w:p>
        </w:tc>
        <w:tc>
          <w:tcPr>
            <w:tcW w:w="1175" w:type="pct"/>
            <w:vAlign w:val="center"/>
          </w:tcPr>
          <w:p w14:paraId="6D3E184F">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粉</w:t>
            </w:r>
          </w:p>
        </w:tc>
        <w:tc>
          <w:tcPr>
            <w:tcW w:w="914" w:type="pct"/>
            <w:vAlign w:val="center"/>
          </w:tcPr>
          <w:p w14:paraId="2B19460F">
            <w:pPr>
              <w:keepLines w:val="0"/>
              <w:pageBreakBefore w:val="0"/>
              <w:wordWrap/>
              <w:overflowPunct/>
              <w:topLinePunct w:val="0"/>
              <w:bidi w:val="0"/>
              <w:spacing w:line="360" w:lineRule="auto"/>
              <w:rPr>
                <w:rFonts w:hint="eastAsia" w:ascii="Times New Roman" w:hAnsi="Times New Roman" w:eastAsia="宋体" w:cs="Times New Roman"/>
                <w:sz w:val="21"/>
                <w:szCs w:val="21"/>
              </w:rPr>
            </w:pPr>
          </w:p>
        </w:tc>
        <w:tc>
          <w:tcPr>
            <w:tcW w:w="491" w:type="pct"/>
            <w:vAlign w:val="center"/>
          </w:tcPr>
          <w:p w14:paraId="560721EE">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黄色</w:t>
            </w:r>
          </w:p>
        </w:tc>
      </w:tr>
      <w:tr w14:paraId="0A5EE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20BDC119">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40</w:t>
            </w:r>
            <w:r>
              <w:rPr>
                <w:rFonts w:ascii="Times New Roman" w:hAnsi="Times New Roman" w:eastAsia="宋体" w:cs="Times New Roman"/>
                <w:sz w:val="21"/>
                <w:szCs w:val="21"/>
              </w:rPr>
              <w:t>）</w:t>
            </w:r>
          </w:p>
        </w:tc>
        <w:tc>
          <w:tcPr>
            <w:tcW w:w="1109" w:type="pct"/>
            <w:vAlign w:val="center"/>
          </w:tcPr>
          <w:p w14:paraId="07DB324F">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黑龙江爱农</w:t>
            </w:r>
          </w:p>
        </w:tc>
        <w:tc>
          <w:tcPr>
            <w:tcW w:w="784" w:type="pct"/>
            <w:vAlign w:val="center"/>
          </w:tcPr>
          <w:p w14:paraId="7F76AB35">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25-11-11</w:t>
            </w:r>
          </w:p>
        </w:tc>
        <w:tc>
          <w:tcPr>
            <w:tcW w:w="1175" w:type="pct"/>
            <w:vAlign w:val="center"/>
          </w:tcPr>
          <w:p w14:paraId="0C3F4E61">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粒</w:t>
            </w:r>
          </w:p>
        </w:tc>
        <w:tc>
          <w:tcPr>
            <w:tcW w:w="914" w:type="pct"/>
            <w:vAlign w:val="center"/>
          </w:tcPr>
          <w:p w14:paraId="4BC16FCC">
            <w:pPr>
              <w:keepLines w:val="0"/>
              <w:pageBreakBefore w:val="0"/>
              <w:wordWrap/>
              <w:overflowPunct/>
              <w:topLinePunct w:val="0"/>
              <w:bidi w:val="0"/>
              <w:spacing w:line="360" w:lineRule="auto"/>
              <w:rPr>
                <w:rFonts w:hint="eastAsia" w:ascii="Times New Roman" w:hAnsi="Times New Roman" w:eastAsia="宋体" w:cs="Times New Roman"/>
                <w:sz w:val="21"/>
                <w:szCs w:val="21"/>
              </w:rPr>
            </w:pPr>
          </w:p>
        </w:tc>
        <w:tc>
          <w:tcPr>
            <w:tcW w:w="491" w:type="pct"/>
            <w:vAlign w:val="center"/>
          </w:tcPr>
          <w:p w14:paraId="7DF8948D">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白色</w:t>
            </w:r>
          </w:p>
        </w:tc>
      </w:tr>
      <w:tr w14:paraId="000D0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12171171">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4</w:t>
            </w:r>
            <w:r>
              <w:rPr>
                <w:rFonts w:ascii="Times New Roman" w:hAnsi="Times New Roman" w:eastAsia="宋体" w:cs="Times New Roman"/>
                <w:sz w:val="21"/>
                <w:szCs w:val="21"/>
              </w:rPr>
              <w:t>1）</w:t>
            </w:r>
          </w:p>
        </w:tc>
        <w:tc>
          <w:tcPr>
            <w:tcW w:w="1109" w:type="pct"/>
            <w:vAlign w:val="center"/>
          </w:tcPr>
          <w:p w14:paraId="20969745">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中嘉化肥</w:t>
            </w:r>
          </w:p>
        </w:tc>
        <w:tc>
          <w:tcPr>
            <w:tcW w:w="784" w:type="pct"/>
            <w:vAlign w:val="center"/>
          </w:tcPr>
          <w:p w14:paraId="6793821D">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26-10-12</w:t>
            </w:r>
          </w:p>
        </w:tc>
        <w:tc>
          <w:tcPr>
            <w:tcW w:w="1175" w:type="pct"/>
            <w:vAlign w:val="center"/>
          </w:tcPr>
          <w:p w14:paraId="61296F34">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粒</w:t>
            </w:r>
          </w:p>
        </w:tc>
        <w:tc>
          <w:tcPr>
            <w:tcW w:w="914" w:type="pct"/>
            <w:vAlign w:val="center"/>
          </w:tcPr>
          <w:p w14:paraId="0336C3FB">
            <w:pPr>
              <w:keepLines w:val="0"/>
              <w:pageBreakBefore w:val="0"/>
              <w:wordWrap/>
              <w:overflowPunct/>
              <w:topLinePunct w:val="0"/>
              <w:bidi w:val="0"/>
              <w:spacing w:line="360" w:lineRule="auto"/>
              <w:rPr>
                <w:rFonts w:hint="eastAsia" w:ascii="Times New Roman" w:hAnsi="Times New Roman" w:eastAsia="宋体" w:cs="Times New Roman"/>
                <w:sz w:val="21"/>
                <w:szCs w:val="21"/>
              </w:rPr>
            </w:pPr>
          </w:p>
        </w:tc>
        <w:tc>
          <w:tcPr>
            <w:tcW w:w="491" w:type="pct"/>
            <w:vAlign w:val="center"/>
          </w:tcPr>
          <w:p w14:paraId="27C6C151">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蓝色</w:t>
            </w:r>
          </w:p>
        </w:tc>
      </w:tr>
      <w:tr w14:paraId="284D0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6ECE14BC">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4</w:t>
            </w:r>
            <w:r>
              <w:rPr>
                <w:rFonts w:ascii="Times New Roman" w:hAnsi="Times New Roman" w:eastAsia="宋体" w:cs="Times New Roman"/>
                <w:sz w:val="21"/>
                <w:szCs w:val="21"/>
              </w:rPr>
              <w:t>2）</w:t>
            </w:r>
          </w:p>
        </w:tc>
        <w:tc>
          <w:tcPr>
            <w:tcW w:w="1109" w:type="pct"/>
            <w:vAlign w:val="center"/>
          </w:tcPr>
          <w:p w14:paraId="486AF795">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中嘉化肥</w:t>
            </w:r>
          </w:p>
        </w:tc>
        <w:tc>
          <w:tcPr>
            <w:tcW w:w="784" w:type="pct"/>
            <w:vAlign w:val="center"/>
          </w:tcPr>
          <w:p w14:paraId="63FA54EC">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26-10-12</w:t>
            </w:r>
          </w:p>
        </w:tc>
        <w:tc>
          <w:tcPr>
            <w:tcW w:w="1175" w:type="pct"/>
            <w:vAlign w:val="center"/>
          </w:tcPr>
          <w:p w14:paraId="5BAE2C5C">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粉</w:t>
            </w:r>
          </w:p>
        </w:tc>
        <w:tc>
          <w:tcPr>
            <w:tcW w:w="914" w:type="pct"/>
            <w:vAlign w:val="center"/>
          </w:tcPr>
          <w:p w14:paraId="26A3579B">
            <w:pPr>
              <w:keepLines w:val="0"/>
              <w:pageBreakBefore w:val="0"/>
              <w:wordWrap/>
              <w:overflowPunct/>
              <w:topLinePunct w:val="0"/>
              <w:bidi w:val="0"/>
              <w:spacing w:line="360" w:lineRule="auto"/>
              <w:rPr>
                <w:rFonts w:hint="eastAsia" w:ascii="Times New Roman" w:hAnsi="Times New Roman" w:eastAsia="宋体" w:cs="Times New Roman"/>
                <w:sz w:val="21"/>
                <w:szCs w:val="21"/>
              </w:rPr>
            </w:pPr>
          </w:p>
        </w:tc>
        <w:tc>
          <w:tcPr>
            <w:tcW w:w="491" w:type="pct"/>
            <w:vAlign w:val="center"/>
          </w:tcPr>
          <w:p w14:paraId="4718199D">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蓝色</w:t>
            </w:r>
          </w:p>
        </w:tc>
      </w:tr>
      <w:tr w14:paraId="0A6DA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6611F9EF">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4</w:t>
            </w:r>
            <w:r>
              <w:rPr>
                <w:rFonts w:ascii="Times New Roman" w:hAnsi="Times New Roman" w:eastAsia="宋体" w:cs="Times New Roman"/>
                <w:sz w:val="21"/>
                <w:szCs w:val="21"/>
              </w:rPr>
              <w:t>3）</w:t>
            </w:r>
          </w:p>
        </w:tc>
        <w:tc>
          <w:tcPr>
            <w:tcW w:w="1109" w:type="pct"/>
            <w:vAlign w:val="center"/>
          </w:tcPr>
          <w:p w14:paraId="3A8A0D05">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辽宁凯丰</w:t>
            </w:r>
          </w:p>
        </w:tc>
        <w:tc>
          <w:tcPr>
            <w:tcW w:w="784" w:type="pct"/>
            <w:vAlign w:val="center"/>
          </w:tcPr>
          <w:p w14:paraId="026410F5">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CL25-10-11</w:t>
            </w:r>
          </w:p>
        </w:tc>
        <w:tc>
          <w:tcPr>
            <w:tcW w:w="1175" w:type="pct"/>
            <w:vAlign w:val="center"/>
          </w:tcPr>
          <w:p w14:paraId="342E4007">
            <w:pPr>
              <w:keepLines w:val="0"/>
              <w:pageBreakBefore w:val="0"/>
              <w:wordWrap/>
              <w:overflowPunct/>
              <w:topLinePunct w:val="0"/>
              <w:bidi w:val="0"/>
              <w:spacing w:line="360" w:lineRule="auto"/>
              <w:rPr>
                <w:rFonts w:hint="eastAsia" w:ascii="Times New Roman" w:hAnsi="Times New Roman" w:eastAsia="宋体" w:cs="Times New Roman"/>
                <w:sz w:val="21"/>
                <w:szCs w:val="21"/>
              </w:rPr>
            </w:pPr>
          </w:p>
        </w:tc>
        <w:tc>
          <w:tcPr>
            <w:tcW w:w="914" w:type="pct"/>
            <w:vAlign w:val="center"/>
          </w:tcPr>
          <w:p w14:paraId="1934C9AC">
            <w:pPr>
              <w:keepLines w:val="0"/>
              <w:pageBreakBefore w:val="0"/>
              <w:wordWrap/>
              <w:overflowPunct/>
              <w:topLinePunct w:val="0"/>
              <w:bidi w:val="0"/>
              <w:spacing w:line="360" w:lineRule="auto"/>
              <w:rPr>
                <w:rFonts w:hint="eastAsia" w:ascii="Times New Roman" w:hAnsi="Times New Roman" w:eastAsia="宋体" w:cs="Times New Roman"/>
                <w:sz w:val="21"/>
                <w:szCs w:val="21"/>
              </w:rPr>
            </w:pPr>
          </w:p>
        </w:tc>
        <w:tc>
          <w:tcPr>
            <w:tcW w:w="491" w:type="pct"/>
            <w:vAlign w:val="center"/>
          </w:tcPr>
          <w:p w14:paraId="79768482">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绿色</w:t>
            </w:r>
          </w:p>
        </w:tc>
      </w:tr>
      <w:tr w14:paraId="03771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57C6CDEE">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4</w:t>
            </w:r>
            <w:r>
              <w:rPr>
                <w:rFonts w:ascii="Times New Roman" w:hAnsi="Times New Roman" w:eastAsia="宋体" w:cs="Times New Roman"/>
                <w:sz w:val="21"/>
                <w:szCs w:val="21"/>
              </w:rPr>
              <w:t>4）</w:t>
            </w:r>
          </w:p>
        </w:tc>
        <w:tc>
          <w:tcPr>
            <w:tcW w:w="1109" w:type="pct"/>
            <w:vAlign w:val="center"/>
          </w:tcPr>
          <w:p w14:paraId="24AA35EA">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辽宁凯丰</w:t>
            </w:r>
          </w:p>
        </w:tc>
        <w:tc>
          <w:tcPr>
            <w:tcW w:w="784" w:type="pct"/>
            <w:vAlign w:val="center"/>
          </w:tcPr>
          <w:p w14:paraId="687D7FB3">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CL25-10-12</w:t>
            </w:r>
          </w:p>
        </w:tc>
        <w:tc>
          <w:tcPr>
            <w:tcW w:w="1175" w:type="pct"/>
            <w:vAlign w:val="center"/>
          </w:tcPr>
          <w:p w14:paraId="763BE9CB">
            <w:pPr>
              <w:keepLines w:val="0"/>
              <w:pageBreakBefore w:val="0"/>
              <w:wordWrap/>
              <w:overflowPunct/>
              <w:topLinePunct w:val="0"/>
              <w:bidi w:val="0"/>
              <w:spacing w:line="360" w:lineRule="auto"/>
              <w:rPr>
                <w:rFonts w:hint="eastAsia" w:ascii="Times New Roman" w:hAnsi="Times New Roman" w:eastAsia="宋体" w:cs="Times New Roman"/>
                <w:sz w:val="21"/>
                <w:szCs w:val="21"/>
              </w:rPr>
            </w:pPr>
          </w:p>
        </w:tc>
        <w:tc>
          <w:tcPr>
            <w:tcW w:w="914" w:type="pct"/>
            <w:vAlign w:val="center"/>
          </w:tcPr>
          <w:p w14:paraId="3FF570DA">
            <w:pPr>
              <w:keepLines w:val="0"/>
              <w:pageBreakBefore w:val="0"/>
              <w:wordWrap/>
              <w:overflowPunct/>
              <w:topLinePunct w:val="0"/>
              <w:bidi w:val="0"/>
              <w:spacing w:line="360" w:lineRule="auto"/>
              <w:rPr>
                <w:rFonts w:hint="eastAsia" w:ascii="Times New Roman" w:hAnsi="Times New Roman" w:eastAsia="宋体" w:cs="Times New Roman"/>
                <w:sz w:val="21"/>
                <w:szCs w:val="21"/>
              </w:rPr>
            </w:pPr>
          </w:p>
        </w:tc>
        <w:tc>
          <w:tcPr>
            <w:tcW w:w="491" w:type="pct"/>
            <w:vAlign w:val="center"/>
          </w:tcPr>
          <w:p w14:paraId="0DDD6FBD">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绿色</w:t>
            </w:r>
          </w:p>
        </w:tc>
      </w:tr>
      <w:tr w14:paraId="44E00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4B2EBD50">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4</w:t>
            </w:r>
            <w:r>
              <w:rPr>
                <w:rFonts w:ascii="Times New Roman" w:hAnsi="Times New Roman" w:eastAsia="宋体" w:cs="Times New Roman"/>
                <w:sz w:val="21"/>
                <w:szCs w:val="21"/>
              </w:rPr>
              <w:t>5）</w:t>
            </w:r>
          </w:p>
        </w:tc>
        <w:tc>
          <w:tcPr>
            <w:tcW w:w="1109" w:type="pct"/>
            <w:vAlign w:val="center"/>
          </w:tcPr>
          <w:p w14:paraId="032CBD9E">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云南农家乐</w:t>
            </w:r>
          </w:p>
        </w:tc>
        <w:tc>
          <w:tcPr>
            <w:tcW w:w="784" w:type="pct"/>
            <w:vAlign w:val="center"/>
          </w:tcPr>
          <w:p w14:paraId="13B1337A">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25-5-5</w:t>
            </w:r>
          </w:p>
        </w:tc>
        <w:tc>
          <w:tcPr>
            <w:tcW w:w="1175" w:type="pct"/>
            <w:vAlign w:val="center"/>
          </w:tcPr>
          <w:p w14:paraId="117E35C3">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粒</w:t>
            </w:r>
          </w:p>
        </w:tc>
        <w:tc>
          <w:tcPr>
            <w:tcW w:w="914" w:type="pct"/>
            <w:vAlign w:val="center"/>
          </w:tcPr>
          <w:p w14:paraId="15433A0E">
            <w:pPr>
              <w:keepLines w:val="0"/>
              <w:pageBreakBefore w:val="0"/>
              <w:wordWrap/>
              <w:overflowPunct/>
              <w:topLinePunct w:val="0"/>
              <w:bidi w:val="0"/>
              <w:spacing w:line="360" w:lineRule="auto"/>
              <w:rPr>
                <w:rFonts w:hint="eastAsia" w:ascii="Times New Roman" w:hAnsi="Times New Roman" w:eastAsia="宋体" w:cs="Times New Roman"/>
                <w:sz w:val="21"/>
                <w:szCs w:val="21"/>
              </w:rPr>
            </w:pPr>
          </w:p>
        </w:tc>
        <w:tc>
          <w:tcPr>
            <w:tcW w:w="491" w:type="pct"/>
            <w:vAlign w:val="center"/>
          </w:tcPr>
          <w:p w14:paraId="60D0DE46">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白色</w:t>
            </w:r>
          </w:p>
        </w:tc>
      </w:tr>
      <w:tr w14:paraId="451C7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00702412">
            <w:pPr>
              <w:keepLines w:val="0"/>
              <w:pageBreakBefore w:val="0"/>
              <w:wordWrap/>
              <w:overflowPunct/>
              <w:topLinePunct w:val="0"/>
              <w:bidi w:val="0"/>
              <w:spacing w:line="360" w:lineRule="auto"/>
              <w:rPr>
                <w:rFonts w:ascii="Times New Roman" w:hAnsi="Times New Roman" w:eastAsia="宋体" w:cs="Times New Roman"/>
                <w:sz w:val="21"/>
                <w:szCs w:val="21"/>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4</w:t>
            </w:r>
            <w:r>
              <w:rPr>
                <w:rFonts w:ascii="Times New Roman" w:hAnsi="Times New Roman" w:eastAsia="宋体" w:cs="Times New Roman"/>
                <w:sz w:val="21"/>
                <w:szCs w:val="21"/>
              </w:rPr>
              <w:t>6）</w:t>
            </w:r>
          </w:p>
        </w:tc>
        <w:tc>
          <w:tcPr>
            <w:tcW w:w="1109" w:type="pct"/>
            <w:vAlign w:val="center"/>
          </w:tcPr>
          <w:p w14:paraId="404D2721">
            <w:pPr>
              <w:keepNext w:val="0"/>
              <w:keepLines w:val="0"/>
              <w:pageBreakBefore w:val="0"/>
              <w:widowControl/>
              <w:suppressLineNumbers w:val="0"/>
              <w:wordWrap/>
              <w:overflowPunct/>
              <w:topLinePunct w:val="0"/>
              <w:bidi w:val="0"/>
              <w:spacing w:line="360" w:lineRule="auto"/>
              <w:jc w:val="left"/>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江南环保</w:t>
            </w:r>
          </w:p>
        </w:tc>
        <w:tc>
          <w:tcPr>
            <w:tcW w:w="784" w:type="pct"/>
            <w:vAlign w:val="center"/>
          </w:tcPr>
          <w:p w14:paraId="0EFA1BF7">
            <w:pPr>
              <w:keepNext w:val="0"/>
              <w:keepLines w:val="0"/>
              <w:pageBreakBefore w:val="0"/>
              <w:widowControl/>
              <w:suppressLineNumbers w:val="0"/>
              <w:wordWrap/>
              <w:overflowPunct/>
              <w:topLinePunct w:val="0"/>
              <w:bidi w:val="0"/>
              <w:spacing w:line="360" w:lineRule="auto"/>
              <w:jc w:val="left"/>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15-5-5</w:t>
            </w:r>
          </w:p>
        </w:tc>
        <w:tc>
          <w:tcPr>
            <w:tcW w:w="1175" w:type="pct"/>
            <w:shd w:val="clear" w:color="auto" w:fill="auto"/>
            <w:vAlign w:val="center"/>
          </w:tcPr>
          <w:p w14:paraId="44BF4F3D">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粒</w:t>
            </w:r>
          </w:p>
        </w:tc>
        <w:tc>
          <w:tcPr>
            <w:tcW w:w="914" w:type="pct"/>
            <w:shd w:val="clear" w:color="auto" w:fill="auto"/>
            <w:vAlign w:val="center"/>
          </w:tcPr>
          <w:p w14:paraId="0B130615">
            <w:pPr>
              <w:keepLines w:val="0"/>
              <w:pageBreakBefore w:val="0"/>
              <w:wordWrap/>
              <w:overflowPunct/>
              <w:topLinePunct w:val="0"/>
              <w:bidi w:val="0"/>
              <w:spacing w:line="360" w:lineRule="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碳铵基氮肥</w:t>
            </w:r>
          </w:p>
        </w:tc>
        <w:tc>
          <w:tcPr>
            <w:tcW w:w="491" w:type="pct"/>
            <w:shd w:val="clear" w:color="auto" w:fill="auto"/>
            <w:vAlign w:val="center"/>
          </w:tcPr>
          <w:p w14:paraId="02060E12">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白色</w:t>
            </w:r>
          </w:p>
        </w:tc>
      </w:tr>
      <w:tr w14:paraId="048E3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077E2A4A">
            <w:pPr>
              <w:keepLines w:val="0"/>
              <w:pageBreakBefore w:val="0"/>
              <w:wordWrap/>
              <w:overflowPunct/>
              <w:topLinePunct w:val="0"/>
              <w:bidi w:val="0"/>
              <w:spacing w:line="360" w:lineRule="auto"/>
              <w:rPr>
                <w:rFonts w:ascii="Times New Roman" w:hAnsi="Times New Roman" w:eastAsia="宋体" w:cs="Times New Roman"/>
                <w:sz w:val="21"/>
                <w:szCs w:val="21"/>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47</w:t>
            </w:r>
            <w:r>
              <w:rPr>
                <w:rFonts w:ascii="Times New Roman" w:hAnsi="Times New Roman" w:eastAsia="宋体" w:cs="Times New Roman"/>
                <w:sz w:val="21"/>
                <w:szCs w:val="21"/>
              </w:rPr>
              <w:t>）</w:t>
            </w:r>
          </w:p>
        </w:tc>
        <w:tc>
          <w:tcPr>
            <w:tcW w:w="1109" w:type="pct"/>
            <w:shd w:val="clear" w:color="auto" w:fill="auto"/>
            <w:vAlign w:val="center"/>
          </w:tcPr>
          <w:p w14:paraId="30303297">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兰花1</w:t>
            </w:r>
          </w:p>
        </w:tc>
        <w:tc>
          <w:tcPr>
            <w:tcW w:w="784" w:type="pct"/>
            <w:shd w:val="clear" w:color="auto" w:fill="auto"/>
            <w:vAlign w:val="center"/>
          </w:tcPr>
          <w:p w14:paraId="43619285">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稳定性尿素</w:t>
            </w:r>
          </w:p>
        </w:tc>
        <w:tc>
          <w:tcPr>
            <w:tcW w:w="1175" w:type="pct"/>
            <w:vAlign w:val="center"/>
          </w:tcPr>
          <w:p w14:paraId="25BFCE94">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p>
        </w:tc>
        <w:tc>
          <w:tcPr>
            <w:tcW w:w="914" w:type="pct"/>
            <w:vAlign w:val="center"/>
          </w:tcPr>
          <w:p w14:paraId="3424A432">
            <w:pPr>
              <w:keepLines w:val="0"/>
              <w:pageBreakBefore w:val="0"/>
              <w:wordWrap/>
              <w:overflowPunct/>
              <w:topLinePunct w:val="0"/>
              <w:bidi w:val="0"/>
              <w:spacing w:line="360" w:lineRule="auto"/>
              <w:rPr>
                <w:rFonts w:hint="eastAsia" w:ascii="Times New Roman" w:hAnsi="Times New Roman" w:eastAsia="宋体" w:cs="Times New Roman"/>
                <w:sz w:val="21"/>
                <w:szCs w:val="21"/>
              </w:rPr>
            </w:pPr>
          </w:p>
        </w:tc>
        <w:tc>
          <w:tcPr>
            <w:tcW w:w="491" w:type="pct"/>
            <w:vAlign w:val="center"/>
          </w:tcPr>
          <w:p w14:paraId="4695CB02">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p>
        </w:tc>
      </w:tr>
      <w:tr w14:paraId="139C1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pct"/>
            <w:shd w:val="clear" w:color="auto" w:fill="auto"/>
            <w:vAlign w:val="top"/>
          </w:tcPr>
          <w:p w14:paraId="577CF77B">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48</w:t>
            </w:r>
            <w:r>
              <w:rPr>
                <w:rFonts w:ascii="Times New Roman" w:hAnsi="Times New Roman" w:eastAsia="宋体" w:cs="Times New Roman"/>
                <w:sz w:val="21"/>
                <w:szCs w:val="21"/>
              </w:rPr>
              <w:t>）</w:t>
            </w:r>
          </w:p>
        </w:tc>
        <w:tc>
          <w:tcPr>
            <w:tcW w:w="1109" w:type="pct"/>
            <w:vAlign w:val="center"/>
          </w:tcPr>
          <w:p w14:paraId="5C3B29FB">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兰花2</w:t>
            </w:r>
          </w:p>
        </w:tc>
        <w:tc>
          <w:tcPr>
            <w:tcW w:w="784" w:type="pct"/>
            <w:vAlign w:val="center"/>
          </w:tcPr>
          <w:p w14:paraId="6D976B39">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稳定性尿素</w:t>
            </w:r>
          </w:p>
        </w:tc>
        <w:tc>
          <w:tcPr>
            <w:tcW w:w="1175" w:type="pct"/>
            <w:vAlign w:val="center"/>
          </w:tcPr>
          <w:p w14:paraId="106D2277">
            <w:pPr>
              <w:keepLines w:val="0"/>
              <w:pageBreakBefore w:val="0"/>
              <w:wordWrap/>
              <w:overflowPunct/>
              <w:topLinePunct w:val="0"/>
              <w:bidi w:val="0"/>
              <w:spacing w:line="360" w:lineRule="auto"/>
              <w:rPr>
                <w:rFonts w:hint="eastAsia" w:ascii="Times New Roman" w:hAnsi="Times New Roman" w:eastAsia="宋体" w:cs="Times New Roman"/>
                <w:sz w:val="21"/>
                <w:szCs w:val="21"/>
              </w:rPr>
            </w:pPr>
          </w:p>
        </w:tc>
        <w:tc>
          <w:tcPr>
            <w:tcW w:w="914" w:type="pct"/>
            <w:vAlign w:val="center"/>
          </w:tcPr>
          <w:p w14:paraId="18A39A52">
            <w:pPr>
              <w:keepLines w:val="0"/>
              <w:pageBreakBefore w:val="0"/>
              <w:wordWrap/>
              <w:overflowPunct/>
              <w:topLinePunct w:val="0"/>
              <w:bidi w:val="0"/>
              <w:spacing w:line="360" w:lineRule="auto"/>
              <w:rPr>
                <w:rFonts w:hint="eastAsia" w:ascii="Times New Roman" w:hAnsi="Times New Roman" w:eastAsia="宋体" w:cs="Times New Roman"/>
                <w:sz w:val="21"/>
                <w:szCs w:val="21"/>
              </w:rPr>
            </w:pPr>
          </w:p>
        </w:tc>
        <w:tc>
          <w:tcPr>
            <w:tcW w:w="491" w:type="pct"/>
            <w:vAlign w:val="center"/>
          </w:tcPr>
          <w:p w14:paraId="3CD13929">
            <w:pPr>
              <w:keepNext w:val="0"/>
              <w:keepLines w:val="0"/>
              <w:pageBreakBefore w:val="0"/>
              <w:widowControl/>
              <w:suppressLineNumbers w:val="0"/>
              <w:wordWrap/>
              <w:overflowPunct/>
              <w:topLinePunct w:val="0"/>
              <w:bidi w:val="0"/>
              <w:spacing w:line="360" w:lineRule="auto"/>
              <w:jc w:val="left"/>
              <w:textAlignment w:val="center"/>
              <w:rPr>
                <w:rFonts w:hint="eastAsia" w:ascii="Times New Roman" w:hAnsi="Times New Roman" w:eastAsia="宋体" w:cs="Times New Roman"/>
                <w:sz w:val="21"/>
                <w:szCs w:val="21"/>
              </w:rPr>
            </w:pPr>
            <w:r>
              <w:rPr>
                <w:rFonts w:hint="eastAsia" w:ascii="宋体" w:hAnsi="宋体" w:eastAsia="宋体" w:cs="宋体"/>
                <w:i w:val="0"/>
                <w:iCs w:val="0"/>
                <w:color w:val="000000"/>
                <w:kern w:val="0"/>
                <w:sz w:val="21"/>
                <w:szCs w:val="21"/>
                <w:u w:val="none"/>
                <w:lang w:val="en-US" w:eastAsia="zh-CN" w:bidi="ar"/>
              </w:rPr>
              <w:t>粉色</w:t>
            </w:r>
          </w:p>
        </w:tc>
      </w:tr>
    </w:tbl>
    <w:p w14:paraId="7FE3CCE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4</w:t>
      </w:r>
      <w:r>
        <w:rPr>
          <w:rFonts w:hint="default" w:ascii="Times New Roman" w:hAnsi="Times New Roman" w:eastAsia="宋体" w:cs="Times New Roman"/>
          <w:kern w:val="2"/>
          <w:sz w:val="24"/>
          <w:szCs w:val="24"/>
          <w:lang w:val="en-US" w:eastAsia="zh-CN" w:bidi="ar-SA"/>
        </w:rPr>
        <w:t>.</w:t>
      </w:r>
      <w:r>
        <w:rPr>
          <w:rFonts w:hint="eastAsia" w:ascii="Times New Roman" w:hAnsi="Times New Roman" w:eastAsia="宋体" w:cs="Times New Roman"/>
          <w:kern w:val="2"/>
          <w:sz w:val="24"/>
          <w:szCs w:val="24"/>
          <w:lang w:val="en-US" w:eastAsia="zh-CN" w:bidi="ar-SA"/>
        </w:rPr>
        <w:t>1.</w:t>
      </w:r>
      <w:r>
        <w:rPr>
          <w:rFonts w:hint="default" w:ascii="Times New Roman" w:hAnsi="Times New Roman" w:eastAsia="宋体" w:cs="Times New Roman"/>
          <w:kern w:val="2"/>
          <w:sz w:val="24"/>
          <w:szCs w:val="24"/>
          <w:lang w:val="en-US" w:eastAsia="zh-CN" w:bidi="ar-SA"/>
        </w:rPr>
        <w:t>2</w:t>
      </w:r>
      <w:r>
        <w:rPr>
          <w:rFonts w:hint="eastAsia" w:ascii="Times New Roman" w:hAnsi="Times New Roman" w:eastAsia="宋体" w:cs="Times New Roman"/>
          <w:kern w:val="2"/>
          <w:sz w:val="24"/>
          <w:szCs w:val="24"/>
          <w:lang w:val="en-US" w:eastAsia="zh-CN" w:bidi="ar-SA"/>
        </w:rPr>
        <w:t xml:space="preserve"> 肥料中总氮测定方法</w:t>
      </w:r>
    </w:p>
    <w:p w14:paraId="54DB2D5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选择GB/T 22923 《肥料中氮、磷、钾的自动分析仪测定法》中的和GB/T 35115《稳定性肥料》中的2种方法测定。</w:t>
      </w:r>
    </w:p>
    <w:p w14:paraId="26CCAB9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4.1.3 肥料中尿素含量测定方法</w:t>
      </w:r>
    </w:p>
    <w:p w14:paraId="7E6F16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按照ISO 19746《Determination of urea content in urea-based fertilizers by high performance liquid》中的和GB/T 35115《稳定性肥料》中的2种方法测定。</w:t>
      </w:r>
    </w:p>
    <w:p w14:paraId="57E602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4.1.4 肥料中硝态氮含量测定方法</w:t>
      </w:r>
    </w:p>
    <w:p w14:paraId="3CC51A4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sz w:val="24"/>
          <w:szCs w:val="24"/>
          <w:lang w:val="en-US" w:eastAsia="zh-CN"/>
        </w:rPr>
        <w:t>按照 GBT3597 《肥料中硝态氮含量的测定》中的方法测定。</w:t>
      </w:r>
    </w:p>
    <w:p w14:paraId="02B4DF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4.1.5 肥料中缩二脲含量测定方法</w:t>
      </w:r>
    </w:p>
    <w:p w14:paraId="286A5C2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sz w:val="24"/>
          <w:szCs w:val="24"/>
          <w:lang w:val="en-US" w:eastAsia="zh-CN"/>
        </w:rPr>
        <w:t>按照GBT22924 《复混肥料中缩二脲含量的测定》中的方法测定。</w:t>
      </w:r>
    </w:p>
    <w:p w14:paraId="2F5EACF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4.1.6 肥料中铵态氮含量测定方法</w:t>
      </w:r>
    </w:p>
    <w:p w14:paraId="2C1290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宋体" w:cs="Times New Roman"/>
          <w:snapToGrid w:val="0"/>
          <w:spacing w:val="-4"/>
          <w:kern w:val="0"/>
          <w:sz w:val="24"/>
          <w:szCs w:val="24"/>
        </w:rPr>
      </w:pPr>
      <w:r>
        <w:rPr>
          <w:rFonts w:hint="eastAsia" w:ascii="Times New Roman" w:hAnsi="Times New Roman" w:eastAsia="宋体" w:cs="Times New Roman"/>
          <w:sz w:val="24"/>
          <w:szCs w:val="24"/>
          <w:lang w:val="en-US" w:eastAsia="zh-CN"/>
        </w:rPr>
        <w:t>差减法，铵态氮含量=总氮-尿素含量-硝态氮-缩二脲。</w:t>
      </w:r>
    </w:p>
    <w:p w14:paraId="5EDFEBCB">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4.2 测试结果</w:t>
      </w:r>
    </w:p>
    <w:p w14:paraId="4B424293">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4.2.1 肥料中总氮和尿素含量测定方法的比较</w:t>
      </w:r>
    </w:p>
    <w:p w14:paraId="2A1A1A1C">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采用国标GB/T 22923中的总氮测定方法测定不同组分氮肥料的总氮含量，验证其测定肥料总氮含量准确性。结果表明其测定不同氮组分肥料的总氮含量准确，跟理论结果接近（表10）。</w:t>
      </w:r>
    </w:p>
    <w:p w14:paraId="34A59B9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jc w:val="center"/>
        <w:textAlignment w:val="auto"/>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b/>
          <w:bCs/>
          <w:szCs w:val="21"/>
          <w:lang w:val="en-US" w:eastAsia="zh-CN"/>
        </w:rPr>
        <w:t>表10 肥料总氮测定方法（</w:t>
      </w:r>
      <w:r>
        <w:rPr>
          <w:rFonts w:hint="eastAsia" w:ascii="Times New Roman" w:hAnsi="Times New Roman" w:eastAsia="宋体" w:cs="Times New Roman"/>
          <w:kern w:val="2"/>
          <w:sz w:val="24"/>
          <w:szCs w:val="24"/>
          <w:lang w:val="en-US" w:eastAsia="zh-CN" w:bidi="ar-SA"/>
        </w:rPr>
        <w:t>GB/T 22923</w:t>
      </w:r>
      <w:r>
        <w:rPr>
          <w:rFonts w:hint="eastAsia" w:ascii="Times New Roman" w:hAnsi="Times New Roman" w:eastAsia="宋体" w:cs="Times New Roman"/>
          <w:b/>
          <w:bCs/>
          <w:szCs w:val="21"/>
          <w:lang w:val="en-US" w:eastAsia="zh-CN"/>
        </w:rPr>
        <w:t>）验证结果</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2"/>
        <w:gridCol w:w="1800"/>
        <w:gridCol w:w="1998"/>
        <w:gridCol w:w="1928"/>
        <w:gridCol w:w="1481"/>
      </w:tblGrid>
      <w:tr w14:paraId="22337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pct"/>
          </w:tcPr>
          <w:p w14:paraId="6F9A0860">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p>
        </w:tc>
        <w:tc>
          <w:tcPr>
            <w:tcW w:w="1056" w:type="pct"/>
          </w:tcPr>
          <w:p w14:paraId="579C1F26">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质量 g</w:t>
            </w:r>
          </w:p>
        </w:tc>
        <w:tc>
          <w:tcPr>
            <w:tcW w:w="1172" w:type="pct"/>
          </w:tcPr>
          <w:p w14:paraId="713AF4B2">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理论</w:t>
            </w:r>
            <w:r>
              <w:rPr>
                <w:rFonts w:hint="default" w:ascii="Times New Roman" w:hAnsi="Times New Roman" w:eastAsia="宋体" w:cs="Times New Roman"/>
                <w:kern w:val="2"/>
                <w:sz w:val="24"/>
                <w:szCs w:val="24"/>
                <w:vertAlign w:val="baseline"/>
                <w:lang w:val="en-US" w:eastAsia="zh-CN" w:bidi="ar-SA"/>
              </w:rPr>
              <w:t>总氮含量 %</w:t>
            </w:r>
          </w:p>
        </w:tc>
        <w:tc>
          <w:tcPr>
            <w:tcW w:w="1131" w:type="pct"/>
          </w:tcPr>
          <w:p w14:paraId="3809C2E7">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default" w:ascii="Times New Roman" w:hAnsi="Times New Roman" w:eastAsia="宋体" w:cs="Times New Roman"/>
                <w:kern w:val="2"/>
                <w:sz w:val="24"/>
                <w:szCs w:val="24"/>
                <w:vertAlign w:val="baseline"/>
                <w:lang w:val="en-US" w:eastAsia="zh-CN" w:bidi="ar-SA"/>
              </w:rPr>
              <w:t>测定总氮含量%</w:t>
            </w:r>
          </w:p>
        </w:tc>
        <w:tc>
          <w:tcPr>
            <w:tcW w:w="869" w:type="pct"/>
          </w:tcPr>
          <w:p w14:paraId="17D72CA8">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偏差%</w:t>
            </w:r>
          </w:p>
        </w:tc>
      </w:tr>
      <w:tr w14:paraId="5A933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0" w:type="pct"/>
          </w:tcPr>
          <w:p w14:paraId="3D33DA0C">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default" w:ascii="Times New Roman" w:hAnsi="Times New Roman" w:eastAsia="宋体" w:cs="Times New Roman"/>
                <w:kern w:val="2"/>
                <w:sz w:val="24"/>
                <w:szCs w:val="24"/>
                <w:vertAlign w:val="baseline"/>
                <w:lang w:val="en-US" w:eastAsia="zh-CN" w:bidi="ar-SA"/>
              </w:rPr>
              <w:t>尿素</w:t>
            </w:r>
          </w:p>
        </w:tc>
        <w:tc>
          <w:tcPr>
            <w:tcW w:w="1056" w:type="pct"/>
            <w:vAlign w:val="center"/>
          </w:tcPr>
          <w:p w14:paraId="25D86A43">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0.2477</w:t>
            </w:r>
          </w:p>
        </w:tc>
        <w:tc>
          <w:tcPr>
            <w:tcW w:w="1172" w:type="pct"/>
            <w:vAlign w:val="center"/>
          </w:tcPr>
          <w:p w14:paraId="44514667">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46.67 </w:t>
            </w:r>
          </w:p>
        </w:tc>
        <w:tc>
          <w:tcPr>
            <w:tcW w:w="1131" w:type="pct"/>
            <w:vAlign w:val="center"/>
          </w:tcPr>
          <w:p w14:paraId="41AF7111">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45.77 </w:t>
            </w:r>
          </w:p>
        </w:tc>
        <w:tc>
          <w:tcPr>
            <w:tcW w:w="869" w:type="pct"/>
          </w:tcPr>
          <w:p w14:paraId="27EB0CEE">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0.019</w:t>
            </w:r>
          </w:p>
        </w:tc>
      </w:tr>
      <w:tr w14:paraId="7DC20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pct"/>
          </w:tcPr>
          <w:p w14:paraId="6CB3A461">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default" w:ascii="Times New Roman" w:hAnsi="Times New Roman" w:eastAsia="宋体" w:cs="Times New Roman"/>
                <w:kern w:val="2"/>
                <w:sz w:val="24"/>
                <w:szCs w:val="24"/>
                <w:vertAlign w:val="baseline"/>
                <w:lang w:val="en-US" w:eastAsia="zh-CN" w:bidi="ar-SA"/>
              </w:rPr>
              <w:t>尿素+硫铵</w:t>
            </w:r>
          </w:p>
        </w:tc>
        <w:tc>
          <w:tcPr>
            <w:tcW w:w="1056" w:type="pct"/>
            <w:vAlign w:val="center"/>
          </w:tcPr>
          <w:p w14:paraId="56FF3361">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0.2104+0.2045</w:t>
            </w:r>
          </w:p>
        </w:tc>
        <w:tc>
          <w:tcPr>
            <w:tcW w:w="1172" w:type="pct"/>
            <w:vAlign w:val="center"/>
          </w:tcPr>
          <w:p w14:paraId="58B766EF">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34.51 </w:t>
            </w:r>
          </w:p>
        </w:tc>
        <w:tc>
          <w:tcPr>
            <w:tcW w:w="1131" w:type="pct"/>
            <w:vAlign w:val="center"/>
          </w:tcPr>
          <w:p w14:paraId="1D758362">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33.79 </w:t>
            </w:r>
          </w:p>
        </w:tc>
        <w:tc>
          <w:tcPr>
            <w:tcW w:w="869" w:type="pct"/>
          </w:tcPr>
          <w:p w14:paraId="2764C3C7">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0.021</w:t>
            </w:r>
          </w:p>
        </w:tc>
      </w:tr>
      <w:tr w14:paraId="76A79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pct"/>
          </w:tcPr>
          <w:p w14:paraId="1C5B1B70">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default" w:ascii="Times New Roman" w:hAnsi="Times New Roman" w:eastAsia="宋体" w:cs="Times New Roman"/>
                <w:kern w:val="2"/>
                <w:sz w:val="24"/>
                <w:szCs w:val="24"/>
                <w:vertAlign w:val="baseline"/>
                <w:lang w:val="en-US" w:eastAsia="zh-CN" w:bidi="ar-SA"/>
              </w:rPr>
              <w:t>硫铵</w:t>
            </w:r>
          </w:p>
        </w:tc>
        <w:tc>
          <w:tcPr>
            <w:tcW w:w="1056" w:type="pct"/>
            <w:vAlign w:val="center"/>
          </w:tcPr>
          <w:p w14:paraId="442E1418">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0.2521</w:t>
            </w:r>
          </w:p>
        </w:tc>
        <w:tc>
          <w:tcPr>
            <w:tcW w:w="1172" w:type="pct"/>
            <w:vAlign w:val="center"/>
          </w:tcPr>
          <w:p w14:paraId="71952AC8">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21.21 </w:t>
            </w:r>
          </w:p>
        </w:tc>
        <w:tc>
          <w:tcPr>
            <w:tcW w:w="1131" w:type="pct"/>
            <w:vAlign w:val="center"/>
          </w:tcPr>
          <w:p w14:paraId="7FDF79C0">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21.87 </w:t>
            </w:r>
          </w:p>
        </w:tc>
        <w:tc>
          <w:tcPr>
            <w:tcW w:w="869" w:type="pct"/>
          </w:tcPr>
          <w:p w14:paraId="7C9E9FF5">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0.031</w:t>
            </w:r>
          </w:p>
        </w:tc>
      </w:tr>
    </w:tbl>
    <w:p w14:paraId="5AFC271A">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采用国标GBT/35113《稳定性肥料》中的方法测定不同氮组分肥料中的尿素含量，验证原国标方法测定肥料中尿素含量的准确性。结果表明原GB/T35113《</w:t>
      </w:r>
      <w:r>
        <w:rPr>
          <w:rFonts w:hint="default" w:ascii="Times New Roman" w:hAnsi="Times New Roman" w:eastAsia="宋体" w:cs="Times New Roman"/>
          <w:kern w:val="2"/>
          <w:sz w:val="24"/>
          <w:szCs w:val="24"/>
          <w:lang w:val="en-US" w:eastAsia="zh-CN" w:bidi="ar-SA"/>
        </w:rPr>
        <w:t>稳定性肥料</w:t>
      </w:r>
      <w:r>
        <w:rPr>
          <w:rFonts w:hint="eastAsia" w:ascii="Times New Roman" w:hAnsi="Times New Roman" w:eastAsia="宋体" w:cs="Times New Roman"/>
          <w:kern w:val="2"/>
          <w:sz w:val="24"/>
          <w:szCs w:val="24"/>
          <w:lang w:val="en-US" w:eastAsia="zh-CN" w:bidi="ar-SA"/>
        </w:rPr>
        <w:t>》</w:t>
      </w:r>
      <w:r>
        <w:rPr>
          <w:rFonts w:hint="default" w:ascii="Times New Roman" w:hAnsi="Times New Roman" w:eastAsia="宋体" w:cs="Times New Roman"/>
          <w:kern w:val="2"/>
          <w:sz w:val="24"/>
          <w:szCs w:val="24"/>
          <w:lang w:val="en-US" w:eastAsia="zh-CN" w:bidi="ar-SA"/>
        </w:rPr>
        <w:t>中测定尿素</w:t>
      </w:r>
      <w:r>
        <w:rPr>
          <w:rFonts w:hint="eastAsia" w:ascii="Times New Roman" w:hAnsi="Times New Roman" w:eastAsia="宋体" w:cs="Times New Roman"/>
          <w:kern w:val="2"/>
          <w:sz w:val="24"/>
          <w:szCs w:val="24"/>
          <w:lang w:val="en-US" w:eastAsia="zh-CN" w:bidi="ar-SA"/>
        </w:rPr>
        <w:t>含量的</w:t>
      </w:r>
      <w:r>
        <w:rPr>
          <w:rFonts w:hint="default" w:ascii="Times New Roman" w:hAnsi="Times New Roman" w:eastAsia="宋体" w:cs="Times New Roman"/>
          <w:kern w:val="2"/>
          <w:sz w:val="24"/>
          <w:szCs w:val="24"/>
          <w:lang w:val="en-US" w:eastAsia="zh-CN" w:bidi="ar-SA"/>
        </w:rPr>
        <w:t>方法</w:t>
      </w:r>
      <w:r>
        <w:rPr>
          <w:rFonts w:hint="eastAsia" w:ascii="Times New Roman" w:hAnsi="Times New Roman" w:eastAsia="宋体" w:cs="Times New Roman"/>
          <w:kern w:val="2"/>
          <w:sz w:val="24"/>
          <w:szCs w:val="24"/>
          <w:lang w:val="en-US" w:eastAsia="zh-CN" w:bidi="ar-SA"/>
        </w:rPr>
        <w:t>在</w:t>
      </w:r>
      <w:r>
        <w:rPr>
          <w:rFonts w:hint="default" w:ascii="Times New Roman" w:hAnsi="Times New Roman" w:eastAsia="宋体" w:cs="Times New Roman"/>
          <w:kern w:val="2"/>
          <w:sz w:val="24"/>
          <w:szCs w:val="24"/>
          <w:lang w:val="en-US" w:eastAsia="zh-CN" w:bidi="ar-SA"/>
        </w:rPr>
        <w:t>测定</w:t>
      </w:r>
      <w:r>
        <w:rPr>
          <w:rFonts w:hint="eastAsia" w:ascii="Times New Roman" w:hAnsi="Times New Roman" w:eastAsia="宋体" w:cs="Times New Roman"/>
          <w:kern w:val="2"/>
          <w:sz w:val="24"/>
          <w:szCs w:val="24"/>
          <w:lang w:val="en-US" w:eastAsia="zh-CN" w:bidi="ar-SA"/>
        </w:rPr>
        <w:t>单一尿素来源的氮肥时结果准确，但是测定铵态氮和尿素等多氮组分来源的肥料时，测定</w:t>
      </w:r>
      <w:r>
        <w:rPr>
          <w:rFonts w:hint="default" w:ascii="Times New Roman" w:hAnsi="Times New Roman" w:eastAsia="宋体" w:cs="Times New Roman"/>
          <w:kern w:val="2"/>
          <w:sz w:val="24"/>
          <w:szCs w:val="24"/>
          <w:lang w:val="en-US" w:eastAsia="zh-CN" w:bidi="ar-SA"/>
        </w:rPr>
        <w:t>结果</w:t>
      </w:r>
      <w:r>
        <w:rPr>
          <w:rFonts w:hint="eastAsia" w:ascii="Times New Roman" w:hAnsi="Times New Roman" w:eastAsia="宋体" w:cs="Times New Roman"/>
          <w:kern w:val="2"/>
          <w:sz w:val="24"/>
          <w:szCs w:val="24"/>
          <w:lang w:val="en-US" w:eastAsia="zh-CN" w:bidi="ar-SA"/>
        </w:rPr>
        <w:t>比理论测定结果</w:t>
      </w:r>
      <w:r>
        <w:rPr>
          <w:rFonts w:hint="default" w:ascii="Times New Roman" w:hAnsi="Times New Roman" w:eastAsia="宋体" w:cs="Times New Roman"/>
          <w:kern w:val="2"/>
          <w:sz w:val="24"/>
          <w:szCs w:val="24"/>
          <w:lang w:val="en-US" w:eastAsia="zh-CN" w:bidi="ar-SA"/>
        </w:rPr>
        <w:t>偏高</w:t>
      </w:r>
      <w:r>
        <w:rPr>
          <w:rFonts w:hint="eastAsia" w:ascii="Times New Roman" w:hAnsi="Times New Roman" w:eastAsia="宋体" w:cs="Times New Roman"/>
          <w:kern w:val="2"/>
          <w:sz w:val="24"/>
          <w:szCs w:val="24"/>
          <w:lang w:val="en-US" w:eastAsia="zh-CN" w:bidi="ar-SA"/>
        </w:rPr>
        <w:t>12.65</w:t>
      </w:r>
      <w:r>
        <w:rPr>
          <w:rFonts w:hint="default" w:ascii="Times New Roman" w:hAnsi="Times New Roman" w:eastAsia="宋体" w:cs="Times New Roman"/>
          <w:kern w:val="2"/>
          <w:sz w:val="24"/>
          <w:szCs w:val="24"/>
          <w:lang w:val="en-US" w:eastAsia="zh-CN" w:bidi="ar-SA"/>
        </w:rPr>
        <w:t>%-</w:t>
      </w:r>
      <w:r>
        <w:rPr>
          <w:rFonts w:hint="eastAsia" w:ascii="Times New Roman" w:hAnsi="Times New Roman" w:eastAsia="宋体" w:cs="Times New Roman"/>
          <w:kern w:val="2"/>
          <w:sz w:val="24"/>
          <w:szCs w:val="24"/>
          <w:lang w:val="en-US" w:eastAsia="zh-CN" w:bidi="ar-SA"/>
        </w:rPr>
        <w:t>18.92</w:t>
      </w:r>
      <w:r>
        <w:rPr>
          <w:rFonts w:hint="default" w:ascii="Times New Roman" w:hAnsi="Times New Roman" w:eastAsia="宋体" w:cs="Times New Roman"/>
          <w:kern w:val="2"/>
          <w:sz w:val="24"/>
          <w:szCs w:val="24"/>
          <w:lang w:val="en-US" w:eastAsia="zh-CN" w:bidi="ar-SA"/>
        </w:rPr>
        <w:t>%</w:t>
      </w:r>
      <w:r>
        <w:rPr>
          <w:rFonts w:hint="eastAsia" w:ascii="Times New Roman" w:hAnsi="Times New Roman" w:eastAsia="宋体" w:cs="Times New Roman"/>
          <w:kern w:val="2"/>
          <w:sz w:val="24"/>
          <w:szCs w:val="24"/>
          <w:lang w:val="en-US" w:eastAsia="zh-CN" w:bidi="ar-SA"/>
        </w:rPr>
        <w:t>（表11）</w:t>
      </w:r>
      <w:r>
        <w:rPr>
          <w:rFonts w:hint="default" w:ascii="Times New Roman" w:hAnsi="Times New Roman" w:eastAsia="宋体" w:cs="Times New Roman"/>
          <w:kern w:val="2"/>
          <w:sz w:val="24"/>
          <w:szCs w:val="24"/>
          <w:lang w:val="en-US" w:eastAsia="zh-CN" w:bidi="ar-SA"/>
        </w:rPr>
        <w:t>，不适合用来测定含铵态氮复合肥中的尿素含量</w:t>
      </w:r>
      <w:r>
        <w:rPr>
          <w:rFonts w:hint="eastAsia" w:ascii="Times New Roman" w:hAnsi="Times New Roman" w:eastAsia="宋体" w:cs="Times New Roman"/>
          <w:kern w:val="2"/>
          <w:sz w:val="24"/>
          <w:szCs w:val="24"/>
          <w:lang w:val="en-US" w:eastAsia="zh-CN" w:bidi="ar-SA"/>
        </w:rPr>
        <w:t>。</w:t>
      </w:r>
    </w:p>
    <w:p w14:paraId="57E7B4A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jc w:val="center"/>
        <w:textAlignment w:val="auto"/>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b/>
          <w:bCs/>
          <w:szCs w:val="21"/>
          <w:lang w:val="en-US" w:eastAsia="zh-CN"/>
        </w:rPr>
        <w:t>表11 肥料尿素含量测定方法（</w:t>
      </w:r>
      <w:r>
        <w:rPr>
          <w:rFonts w:hint="eastAsia" w:ascii="Times New Roman" w:hAnsi="Times New Roman" w:eastAsia="宋体" w:cs="Times New Roman"/>
          <w:kern w:val="2"/>
          <w:sz w:val="24"/>
          <w:szCs w:val="24"/>
          <w:lang w:val="en-US" w:eastAsia="zh-CN" w:bidi="ar-SA"/>
        </w:rPr>
        <w:t>GB/T 35113</w:t>
      </w:r>
      <w:r>
        <w:rPr>
          <w:rFonts w:hint="eastAsia" w:ascii="Times New Roman" w:hAnsi="Times New Roman" w:eastAsia="宋体" w:cs="Times New Roman"/>
          <w:b/>
          <w:bCs/>
          <w:szCs w:val="21"/>
          <w:lang w:val="en-US" w:eastAsia="zh-CN"/>
        </w:rPr>
        <w:t>）验证结果</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1865"/>
        <w:gridCol w:w="2263"/>
        <w:gridCol w:w="1861"/>
        <w:gridCol w:w="1170"/>
      </w:tblGrid>
      <w:tr w14:paraId="64DA1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8" w:type="pct"/>
          </w:tcPr>
          <w:p w14:paraId="389A2663">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p>
        </w:tc>
        <w:tc>
          <w:tcPr>
            <w:tcW w:w="1094" w:type="pct"/>
          </w:tcPr>
          <w:p w14:paraId="470CE2FD">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质量 g</w:t>
            </w:r>
          </w:p>
        </w:tc>
        <w:tc>
          <w:tcPr>
            <w:tcW w:w="1328" w:type="pct"/>
          </w:tcPr>
          <w:p w14:paraId="7F4E2704">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理论尿素氮</w:t>
            </w:r>
            <w:r>
              <w:rPr>
                <w:rFonts w:hint="default" w:ascii="Times New Roman" w:hAnsi="Times New Roman" w:eastAsia="宋体" w:cs="Times New Roman"/>
                <w:kern w:val="2"/>
                <w:sz w:val="24"/>
                <w:szCs w:val="24"/>
                <w:vertAlign w:val="baseline"/>
                <w:lang w:val="en-US" w:eastAsia="zh-CN" w:bidi="ar-SA"/>
              </w:rPr>
              <w:t>含量 %</w:t>
            </w:r>
          </w:p>
        </w:tc>
        <w:tc>
          <w:tcPr>
            <w:tcW w:w="1092" w:type="pct"/>
          </w:tcPr>
          <w:p w14:paraId="6FC38F4D">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default" w:ascii="Times New Roman" w:hAnsi="Times New Roman" w:eastAsia="宋体" w:cs="Times New Roman"/>
                <w:kern w:val="2"/>
                <w:sz w:val="24"/>
                <w:szCs w:val="24"/>
                <w:vertAlign w:val="baseline"/>
                <w:lang w:val="en-US" w:eastAsia="zh-CN" w:bidi="ar-SA"/>
              </w:rPr>
              <w:t>测定</w:t>
            </w:r>
            <w:r>
              <w:rPr>
                <w:rFonts w:hint="eastAsia" w:ascii="Times New Roman" w:hAnsi="Times New Roman" w:eastAsia="宋体" w:cs="Times New Roman"/>
                <w:kern w:val="2"/>
                <w:sz w:val="24"/>
                <w:szCs w:val="24"/>
                <w:vertAlign w:val="baseline"/>
                <w:lang w:val="en-US" w:eastAsia="zh-CN" w:bidi="ar-SA"/>
              </w:rPr>
              <w:t>尿氮</w:t>
            </w:r>
            <w:r>
              <w:rPr>
                <w:rFonts w:hint="default" w:ascii="Times New Roman" w:hAnsi="Times New Roman" w:eastAsia="宋体" w:cs="Times New Roman"/>
                <w:kern w:val="2"/>
                <w:sz w:val="24"/>
                <w:szCs w:val="24"/>
                <w:vertAlign w:val="baseline"/>
                <w:lang w:val="en-US" w:eastAsia="zh-CN" w:bidi="ar-SA"/>
              </w:rPr>
              <w:t>含量%</w:t>
            </w:r>
          </w:p>
        </w:tc>
        <w:tc>
          <w:tcPr>
            <w:tcW w:w="686" w:type="pct"/>
          </w:tcPr>
          <w:p w14:paraId="14A0E67E">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偏差%</w:t>
            </w:r>
          </w:p>
        </w:tc>
      </w:tr>
      <w:tr w14:paraId="6A5B5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98" w:type="pct"/>
          </w:tcPr>
          <w:p w14:paraId="10AE9DED">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default" w:ascii="Times New Roman" w:hAnsi="Times New Roman" w:eastAsia="宋体" w:cs="Times New Roman"/>
                <w:kern w:val="2"/>
                <w:sz w:val="24"/>
                <w:szCs w:val="24"/>
                <w:vertAlign w:val="baseline"/>
                <w:lang w:val="en-US" w:eastAsia="zh-CN" w:bidi="ar-SA"/>
              </w:rPr>
              <w:t>尿素</w:t>
            </w:r>
          </w:p>
        </w:tc>
        <w:tc>
          <w:tcPr>
            <w:tcW w:w="1094" w:type="pct"/>
            <w:shd w:val="clear" w:color="auto" w:fill="auto"/>
            <w:vAlign w:val="center"/>
          </w:tcPr>
          <w:p w14:paraId="62E5D2EB">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0.5410</w:t>
            </w:r>
          </w:p>
        </w:tc>
        <w:tc>
          <w:tcPr>
            <w:tcW w:w="1328" w:type="pct"/>
            <w:vAlign w:val="center"/>
          </w:tcPr>
          <w:p w14:paraId="518708B7">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46.67 </w:t>
            </w:r>
          </w:p>
        </w:tc>
        <w:tc>
          <w:tcPr>
            <w:tcW w:w="1092" w:type="pct"/>
            <w:vAlign w:val="center"/>
          </w:tcPr>
          <w:p w14:paraId="295E782F">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46.92 </w:t>
            </w:r>
          </w:p>
        </w:tc>
        <w:tc>
          <w:tcPr>
            <w:tcW w:w="686" w:type="pct"/>
          </w:tcPr>
          <w:p w14:paraId="4D2003A5">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0.54</w:t>
            </w:r>
          </w:p>
        </w:tc>
      </w:tr>
      <w:tr w14:paraId="56C09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98" w:type="pct"/>
          </w:tcPr>
          <w:p w14:paraId="424E5016">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default" w:ascii="Times New Roman" w:hAnsi="Times New Roman" w:eastAsia="宋体" w:cs="Times New Roman"/>
                <w:kern w:val="2"/>
                <w:sz w:val="24"/>
                <w:szCs w:val="24"/>
                <w:vertAlign w:val="baseline"/>
                <w:lang w:val="en-US" w:eastAsia="zh-CN" w:bidi="ar-SA"/>
              </w:rPr>
              <w:t>尿素</w:t>
            </w:r>
          </w:p>
        </w:tc>
        <w:tc>
          <w:tcPr>
            <w:tcW w:w="1094" w:type="pct"/>
            <w:shd w:val="clear" w:color="auto" w:fill="auto"/>
            <w:vAlign w:val="center"/>
          </w:tcPr>
          <w:p w14:paraId="7EEC6D32">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0.5143</w:t>
            </w:r>
          </w:p>
        </w:tc>
        <w:tc>
          <w:tcPr>
            <w:tcW w:w="1328" w:type="pct"/>
            <w:vAlign w:val="center"/>
          </w:tcPr>
          <w:p w14:paraId="6A5897D5">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46.67 </w:t>
            </w:r>
          </w:p>
        </w:tc>
        <w:tc>
          <w:tcPr>
            <w:tcW w:w="1092" w:type="pct"/>
            <w:shd w:val="clear" w:color="auto" w:fill="auto"/>
            <w:vAlign w:val="center"/>
          </w:tcPr>
          <w:p w14:paraId="6FAE2057">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46.76 </w:t>
            </w:r>
          </w:p>
        </w:tc>
        <w:tc>
          <w:tcPr>
            <w:tcW w:w="686" w:type="pct"/>
          </w:tcPr>
          <w:p w14:paraId="30AFB0A1">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0.21</w:t>
            </w:r>
          </w:p>
        </w:tc>
      </w:tr>
      <w:tr w14:paraId="4514F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8" w:type="pct"/>
          </w:tcPr>
          <w:p w14:paraId="043CA697">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default" w:ascii="Times New Roman" w:hAnsi="Times New Roman" w:eastAsia="宋体" w:cs="Times New Roman"/>
                <w:kern w:val="2"/>
                <w:sz w:val="24"/>
                <w:szCs w:val="24"/>
                <w:vertAlign w:val="baseline"/>
                <w:lang w:val="en-US" w:eastAsia="zh-CN" w:bidi="ar-SA"/>
              </w:rPr>
              <w:t>尿素+硫铵</w:t>
            </w:r>
          </w:p>
        </w:tc>
        <w:tc>
          <w:tcPr>
            <w:tcW w:w="1094" w:type="pct"/>
            <w:vAlign w:val="center"/>
          </w:tcPr>
          <w:p w14:paraId="79C7CA01">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0.5637+0.4965</w:t>
            </w:r>
          </w:p>
        </w:tc>
        <w:tc>
          <w:tcPr>
            <w:tcW w:w="1328" w:type="pct"/>
            <w:vAlign w:val="center"/>
          </w:tcPr>
          <w:p w14:paraId="0DEB054A">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24.81</w:t>
            </w:r>
          </w:p>
        </w:tc>
        <w:tc>
          <w:tcPr>
            <w:tcW w:w="1092" w:type="pct"/>
            <w:vAlign w:val="center"/>
          </w:tcPr>
          <w:p w14:paraId="1FDE536D">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27.46 </w:t>
            </w:r>
          </w:p>
        </w:tc>
        <w:tc>
          <w:tcPr>
            <w:tcW w:w="686" w:type="pct"/>
          </w:tcPr>
          <w:p w14:paraId="5D00EEAE">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18.92</w:t>
            </w:r>
          </w:p>
        </w:tc>
      </w:tr>
      <w:tr w14:paraId="26750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8" w:type="pct"/>
          </w:tcPr>
          <w:p w14:paraId="79BAB8F1">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default" w:ascii="Times New Roman" w:hAnsi="Times New Roman" w:eastAsia="宋体" w:cs="Times New Roman"/>
                <w:kern w:val="2"/>
                <w:sz w:val="24"/>
                <w:szCs w:val="24"/>
                <w:vertAlign w:val="baseline"/>
                <w:lang w:val="en-US" w:eastAsia="zh-CN" w:bidi="ar-SA"/>
              </w:rPr>
              <w:t>尿素+硫铵</w:t>
            </w:r>
          </w:p>
        </w:tc>
        <w:tc>
          <w:tcPr>
            <w:tcW w:w="1094" w:type="pct"/>
            <w:vAlign w:val="center"/>
          </w:tcPr>
          <w:p w14:paraId="7F16A104">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0.5464+0.5756</w:t>
            </w:r>
          </w:p>
        </w:tc>
        <w:tc>
          <w:tcPr>
            <w:tcW w:w="1328" w:type="pct"/>
            <w:vAlign w:val="center"/>
          </w:tcPr>
          <w:p w14:paraId="7D48B263">
            <w:pPr>
              <w:keepNext w:val="0"/>
              <w:keepLines w:val="0"/>
              <w:pageBreakBefore w:val="0"/>
              <w:widowControl/>
              <w:suppressLineNumbers w:val="0"/>
              <w:wordWrap/>
              <w:overflowPunct/>
              <w:topLinePunct w:val="0"/>
              <w:bidi w:val="0"/>
              <w:spacing w:line="360" w:lineRule="auto"/>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22.73</w:t>
            </w:r>
          </w:p>
        </w:tc>
        <w:tc>
          <w:tcPr>
            <w:tcW w:w="1092" w:type="pct"/>
            <w:vAlign w:val="center"/>
          </w:tcPr>
          <w:p w14:paraId="05F4A568">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26.54 </w:t>
            </w:r>
          </w:p>
        </w:tc>
        <w:tc>
          <w:tcPr>
            <w:tcW w:w="686" w:type="pct"/>
          </w:tcPr>
          <w:p w14:paraId="65C0B680">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14.94</w:t>
            </w:r>
          </w:p>
        </w:tc>
      </w:tr>
      <w:tr w14:paraId="7BCF9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8" w:type="pct"/>
          </w:tcPr>
          <w:p w14:paraId="29ED3F89">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default" w:ascii="Times New Roman" w:hAnsi="Times New Roman" w:eastAsia="宋体" w:cs="Times New Roman"/>
                <w:kern w:val="2"/>
                <w:sz w:val="24"/>
                <w:szCs w:val="24"/>
                <w:vertAlign w:val="baseline"/>
                <w:lang w:val="en-US" w:eastAsia="zh-CN" w:bidi="ar-SA"/>
              </w:rPr>
              <w:t>尿素+硫铵</w:t>
            </w:r>
          </w:p>
        </w:tc>
        <w:tc>
          <w:tcPr>
            <w:tcW w:w="1094" w:type="pct"/>
            <w:vAlign w:val="center"/>
          </w:tcPr>
          <w:p w14:paraId="238A9CDC">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0.5035+0.5773</w:t>
            </w:r>
          </w:p>
        </w:tc>
        <w:tc>
          <w:tcPr>
            <w:tcW w:w="1328" w:type="pct"/>
            <w:vAlign w:val="center"/>
          </w:tcPr>
          <w:p w14:paraId="6321DE13">
            <w:pPr>
              <w:keepNext w:val="0"/>
              <w:keepLines w:val="0"/>
              <w:pageBreakBefore w:val="0"/>
              <w:widowControl/>
              <w:suppressLineNumbers w:val="0"/>
              <w:wordWrap/>
              <w:overflowPunct/>
              <w:topLinePunct w:val="0"/>
              <w:bidi w:val="0"/>
              <w:spacing w:line="360" w:lineRule="auto"/>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21.74</w:t>
            </w:r>
          </w:p>
        </w:tc>
        <w:tc>
          <w:tcPr>
            <w:tcW w:w="1092" w:type="pct"/>
            <w:vAlign w:val="center"/>
          </w:tcPr>
          <w:p w14:paraId="6E547513">
            <w:pPr>
              <w:keepNext w:val="0"/>
              <w:keepLines w:val="0"/>
              <w:pageBreakBefore w:val="0"/>
              <w:widowControl/>
              <w:suppressLineNumbers w:val="0"/>
              <w:wordWrap/>
              <w:overflowPunct/>
              <w:topLinePunct w:val="0"/>
              <w:bidi w:val="0"/>
              <w:spacing w:line="360" w:lineRule="auto"/>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26.01 </w:t>
            </w:r>
          </w:p>
        </w:tc>
        <w:tc>
          <w:tcPr>
            <w:tcW w:w="686" w:type="pct"/>
          </w:tcPr>
          <w:p w14:paraId="7DEE9570">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12.65</w:t>
            </w:r>
          </w:p>
        </w:tc>
      </w:tr>
    </w:tbl>
    <w:p w14:paraId="4DDF365E">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lang w:val="en-US" w:eastAsia="zh-CN" w:bidi="ar-SA"/>
        </w:rPr>
      </w:pPr>
    </w:p>
    <w:p w14:paraId="4ACA6590">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4.2.2 肥料中氮组分及其含量</w:t>
      </w:r>
    </w:p>
    <w:p w14:paraId="3CC4A62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b w:val="0"/>
          <w:bCs w:val="0"/>
          <w:color w:val="auto"/>
          <w:sz w:val="24"/>
          <w:szCs w:val="24"/>
          <w:lang w:val="en-US" w:eastAsia="zh-CN"/>
        </w:rPr>
        <w:t>由表1</w:t>
      </w:r>
      <w:r>
        <w:rPr>
          <w:rFonts w:hint="eastAsia" w:ascii="Times New Roman" w:hAnsi="Times New Roman" w:eastAsia="宋体" w:cs="Times New Roman"/>
          <w:b w:val="0"/>
          <w:bCs w:val="0"/>
          <w:color w:val="auto"/>
          <w:sz w:val="24"/>
          <w:szCs w:val="24"/>
          <w:lang w:val="en-US" w:eastAsia="zh-CN"/>
        </w:rPr>
        <w:t>1</w:t>
      </w:r>
      <w:r>
        <w:rPr>
          <w:rFonts w:hint="default" w:ascii="Times New Roman" w:hAnsi="Times New Roman" w:eastAsia="宋体" w:cs="Times New Roman"/>
          <w:b w:val="0"/>
          <w:bCs w:val="0"/>
          <w:color w:val="auto"/>
          <w:sz w:val="24"/>
          <w:szCs w:val="24"/>
          <w:lang w:val="en-US" w:eastAsia="zh-CN"/>
        </w:rPr>
        <w:t>可知，</w:t>
      </w:r>
      <w:r>
        <w:rPr>
          <w:rFonts w:hint="eastAsia" w:ascii="Times New Roman" w:hAnsi="Times New Roman" w:eastAsia="宋体" w:cs="Times New Roman"/>
          <w:color w:val="auto"/>
          <w:kern w:val="2"/>
          <w:sz w:val="24"/>
          <w:szCs w:val="24"/>
          <w:lang w:val="en-US" w:eastAsia="zh-CN" w:bidi="ar-SA"/>
        </w:rPr>
        <w:t>48个样品中的</w:t>
      </w:r>
      <w:r>
        <w:rPr>
          <w:rFonts w:hint="eastAsia" w:ascii="Times New Roman" w:hAnsi="Times New Roman" w:eastAsia="宋体" w:cs="Times New Roman"/>
          <w:b w:val="0"/>
          <w:bCs w:val="0"/>
          <w:color w:val="auto"/>
          <w:sz w:val="24"/>
          <w:szCs w:val="24"/>
          <w:lang w:val="en-US" w:eastAsia="zh-CN"/>
        </w:rPr>
        <w:t>11、12、36、37号样品的总氮含量远远超过正常值，为问题样品。剩余</w:t>
      </w:r>
      <w:r>
        <w:rPr>
          <w:rFonts w:hint="eastAsia" w:ascii="Times New Roman" w:hAnsi="Times New Roman" w:eastAsia="宋体" w:cs="Times New Roman"/>
          <w:color w:val="auto"/>
          <w:kern w:val="2"/>
          <w:sz w:val="24"/>
          <w:szCs w:val="24"/>
          <w:lang w:val="en-US" w:eastAsia="zh-CN" w:bidi="ar-SA"/>
        </w:rPr>
        <w:t>44个样品的总氮含量普遍比企业提供配方中的氮含量高0.28-2.85个氮（有几个氮含量差异特别大的肥料是取样误差），有8个样品比企业提供配方中的氮含量低/（最多低1.37个氮），</w:t>
      </w:r>
      <w:r>
        <w:rPr>
          <w:rStyle w:val="14"/>
          <w:rFonts w:hint="eastAsia" w:ascii="Times New Roman" w:hAnsi="Times New Roman" w:eastAsia="宋体" w:cs="Times New Roman"/>
          <w:b w:val="0"/>
          <w:bCs w:val="0"/>
          <w:color w:val="auto"/>
          <w:sz w:val="24"/>
          <w:szCs w:val="24"/>
          <w:lang w:val="en-US" w:eastAsia="zh-CN" w:bidi="ar"/>
        </w:rPr>
        <w:t>说明企业提供配方中的氮与实际氮含量存在较大偏差，在配置肥对照时必须测定肥料的总氮含量</w:t>
      </w:r>
      <w:r>
        <w:rPr>
          <w:rFonts w:hint="default" w:ascii="Times New Roman" w:hAnsi="Times New Roman" w:eastAsia="宋体" w:cs="Times New Roman"/>
          <w:color w:val="auto"/>
          <w:kern w:val="2"/>
          <w:sz w:val="24"/>
          <w:szCs w:val="24"/>
          <w:lang w:val="en-US" w:eastAsia="zh-CN" w:bidi="ar-SA"/>
        </w:rPr>
        <w:t>。另外，结果还表明</w:t>
      </w:r>
      <w:r>
        <w:rPr>
          <w:rFonts w:hint="default" w:ascii="Times New Roman" w:hAnsi="Times New Roman" w:eastAsia="宋体" w:cs="Times New Roman"/>
          <w:b w:val="0"/>
          <w:bCs w:val="0"/>
          <w:color w:val="auto"/>
          <w:sz w:val="24"/>
          <w:szCs w:val="24"/>
          <w:lang w:val="en-US" w:eastAsia="zh-CN"/>
        </w:rPr>
        <w:t>采用GB/T35113</w:t>
      </w:r>
      <w:r>
        <w:rPr>
          <w:rFonts w:hint="default" w:ascii="Times New Roman" w:hAnsi="Times New Roman" w:eastAsia="宋体" w:cs="Times New Roman"/>
          <w:color w:val="auto"/>
          <w:kern w:val="2"/>
          <w:sz w:val="24"/>
          <w:szCs w:val="24"/>
          <w:lang w:val="en-US" w:eastAsia="zh-CN" w:bidi="ar-SA"/>
        </w:rPr>
        <w:t>《稳定性肥料》</w:t>
      </w:r>
      <w:r>
        <w:rPr>
          <w:rFonts w:hint="default" w:ascii="Times New Roman" w:hAnsi="Times New Roman" w:eastAsia="宋体" w:cs="Times New Roman"/>
          <w:b w:val="0"/>
          <w:bCs w:val="0"/>
          <w:color w:val="auto"/>
          <w:sz w:val="24"/>
          <w:szCs w:val="24"/>
          <w:lang w:val="en-US" w:eastAsia="zh-CN"/>
        </w:rPr>
        <w:t>中的肥料尿素含量方法测定的</w:t>
      </w:r>
      <w:r>
        <w:rPr>
          <w:rFonts w:hint="eastAsia" w:ascii="Times New Roman" w:hAnsi="Times New Roman" w:eastAsia="宋体" w:cs="Times New Roman"/>
          <w:b w:val="0"/>
          <w:bCs w:val="0"/>
          <w:color w:val="auto"/>
          <w:sz w:val="24"/>
          <w:szCs w:val="24"/>
          <w:lang w:val="en-US" w:eastAsia="zh-CN"/>
        </w:rPr>
        <w:t>尿素含量结果</w:t>
      </w:r>
      <w:r>
        <w:rPr>
          <w:rFonts w:hint="default" w:ascii="Times New Roman" w:hAnsi="Times New Roman" w:eastAsia="宋体" w:cs="Times New Roman"/>
          <w:b w:val="0"/>
          <w:bCs w:val="0"/>
          <w:color w:val="auto"/>
          <w:sz w:val="24"/>
          <w:szCs w:val="24"/>
          <w:lang w:val="en-US" w:eastAsia="zh-CN"/>
        </w:rPr>
        <w:t>，大多数比用</w:t>
      </w:r>
      <w:r>
        <w:rPr>
          <w:rStyle w:val="14"/>
          <w:rFonts w:hint="default" w:ascii="Times New Roman" w:hAnsi="Times New Roman" w:eastAsia="宋体" w:cs="Times New Roman"/>
          <w:b w:val="0"/>
          <w:bCs w:val="0"/>
          <w:color w:val="auto"/>
          <w:sz w:val="24"/>
          <w:szCs w:val="24"/>
          <w:lang w:val="en-US" w:eastAsia="zh-CN" w:bidi="ar"/>
        </w:rPr>
        <w:t>ISO 19746中方法测定出来的高，</w:t>
      </w:r>
      <w:r>
        <w:rPr>
          <w:rStyle w:val="14"/>
          <w:rFonts w:hint="eastAsia" w:ascii="Times New Roman" w:hAnsi="Times New Roman" w:eastAsia="宋体" w:cs="Times New Roman"/>
          <w:b w:val="0"/>
          <w:bCs w:val="0"/>
          <w:color w:val="auto"/>
          <w:sz w:val="24"/>
          <w:szCs w:val="24"/>
          <w:lang w:val="en-US" w:eastAsia="zh-CN" w:bidi="ar"/>
        </w:rPr>
        <w:t>与表10中的结果保持一致</w:t>
      </w:r>
      <w:r>
        <w:rPr>
          <w:rFonts w:hint="default" w:ascii="Times New Roman" w:hAnsi="Times New Roman" w:eastAsia="宋体" w:cs="Times New Roman"/>
          <w:color w:val="auto"/>
          <w:kern w:val="2"/>
          <w:sz w:val="24"/>
          <w:szCs w:val="24"/>
          <w:lang w:val="en-US" w:eastAsia="zh-CN" w:bidi="ar-SA"/>
        </w:rPr>
        <w:t>。</w:t>
      </w:r>
    </w:p>
    <w:p w14:paraId="0F9BC20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测定的48个肥料样品中，除了2个硝基肥的硝态氮含量较高以及33号样品的硝态氮含量高之外，其余肥料样品的硝态氮含量均处于非常低的水平。</w:t>
      </w:r>
    </w:p>
    <w:p w14:paraId="6BB66C9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48个样品的缩二脲含量在0.06%-1.05%之间变化，但鉴于其水难溶的特性，恐影响后续比色，故后续将验证缩二脲含量对硝化潜势指标测定的影响。</w:t>
      </w:r>
    </w:p>
    <w:p w14:paraId="28CF3EB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jc w:val="center"/>
        <w:textAlignment w:val="auto"/>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b/>
          <w:bCs/>
          <w:szCs w:val="21"/>
          <w:lang w:val="en-US" w:eastAsia="zh-CN"/>
        </w:rPr>
        <w:t>表12 企业收集的48个肥料样品的氮组分及含量</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1124"/>
        <w:gridCol w:w="1303"/>
        <w:gridCol w:w="1192"/>
        <w:gridCol w:w="1146"/>
        <w:gridCol w:w="1233"/>
        <w:gridCol w:w="1528"/>
      </w:tblGrid>
      <w:tr w14:paraId="495A9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82" w:type="pct"/>
          </w:tcPr>
          <w:p w14:paraId="4DDD2100">
            <w:pPr>
              <w:keepLines w:val="0"/>
              <w:pageBreakBefore w:val="0"/>
              <w:wordWrap/>
              <w:overflowPunct/>
              <w:topLinePunct w:val="0"/>
              <w:bidi w:val="0"/>
              <w:spacing w:line="240" w:lineRule="auto"/>
              <w:rPr>
                <w:rFonts w:hint="default" w:ascii="Times New Roman" w:hAnsi="Times New Roman" w:eastAsia="宋体" w:cs="Times New Roman"/>
                <w:b w:val="0"/>
                <w:bCs w:val="0"/>
                <w:color w:val="auto"/>
                <w:sz w:val="18"/>
                <w:szCs w:val="18"/>
              </w:rPr>
            </w:pPr>
          </w:p>
        </w:tc>
        <w:tc>
          <w:tcPr>
            <w:tcW w:w="659" w:type="pct"/>
            <w:vAlign w:val="center"/>
          </w:tcPr>
          <w:p w14:paraId="469BEC88">
            <w:pPr>
              <w:keepNext w:val="0"/>
              <w:keepLines w:val="0"/>
              <w:pageBreakBefore w:val="0"/>
              <w:widowControl/>
              <w:suppressLineNumbers w:val="0"/>
              <w:wordWrap/>
              <w:overflowPunct/>
              <w:topLinePunct w:val="0"/>
              <w:bidi w:val="0"/>
              <w:spacing w:line="240" w:lineRule="auto"/>
              <w:jc w:val="center"/>
              <w:textAlignment w:val="center"/>
              <w:rPr>
                <w:rFonts w:hint="default" w:ascii="Times New Roman" w:hAnsi="Times New Roman" w:eastAsia="宋体" w:cs="Times New Roman"/>
                <w:b w:val="0"/>
                <w:bCs w:val="0"/>
                <w:color w:val="auto"/>
                <w:sz w:val="18"/>
                <w:szCs w:val="18"/>
                <w:lang w:val="en-US" w:eastAsia="zh-CN"/>
              </w:rPr>
            </w:pPr>
            <w:r>
              <w:rPr>
                <w:rStyle w:val="14"/>
                <w:rFonts w:hint="default" w:ascii="Times New Roman" w:hAnsi="Times New Roman" w:cs="Times New Roman"/>
                <w:b w:val="0"/>
                <w:bCs w:val="0"/>
                <w:color w:val="auto"/>
                <w:sz w:val="18"/>
                <w:szCs w:val="18"/>
                <w:lang w:val="en-US" w:eastAsia="zh-CN" w:bidi="ar"/>
              </w:rPr>
              <w:t>配方</w:t>
            </w:r>
          </w:p>
        </w:tc>
        <w:tc>
          <w:tcPr>
            <w:tcW w:w="764" w:type="pct"/>
            <w:vAlign w:val="center"/>
          </w:tcPr>
          <w:p w14:paraId="45AC3151">
            <w:pPr>
              <w:keepNext w:val="0"/>
              <w:keepLines w:val="0"/>
              <w:pageBreakBefore w:val="0"/>
              <w:widowControl/>
              <w:suppressLineNumbers w:val="0"/>
              <w:wordWrap/>
              <w:overflowPunct/>
              <w:topLinePunct w:val="0"/>
              <w:bidi w:val="0"/>
              <w:spacing w:line="240" w:lineRule="auto"/>
              <w:jc w:val="left"/>
              <w:textAlignment w:val="center"/>
              <w:rPr>
                <w:rStyle w:val="14"/>
                <w:rFonts w:hint="default" w:ascii="Times New Roman" w:hAnsi="Times New Roman" w:cs="Times New Roman"/>
                <w:b w:val="0"/>
                <w:bCs w:val="0"/>
                <w:color w:val="auto"/>
                <w:sz w:val="18"/>
                <w:szCs w:val="18"/>
                <w:lang w:val="en-US" w:eastAsia="zh-CN" w:bidi="ar"/>
              </w:rPr>
            </w:pPr>
            <w:r>
              <w:rPr>
                <w:rStyle w:val="14"/>
                <w:rFonts w:hint="default" w:ascii="Times New Roman" w:hAnsi="Times New Roman" w:cs="Times New Roman"/>
                <w:b w:val="0"/>
                <w:bCs w:val="0"/>
                <w:color w:val="auto"/>
                <w:sz w:val="18"/>
                <w:szCs w:val="18"/>
                <w:lang w:val="en-US" w:eastAsia="zh-CN" w:bidi="ar"/>
              </w:rPr>
              <w:t>总氮%</w:t>
            </w:r>
          </w:p>
        </w:tc>
        <w:tc>
          <w:tcPr>
            <w:tcW w:w="699" w:type="pct"/>
            <w:shd w:val="clear" w:color="auto" w:fill="auto"/>
            <w:vAlign w:val="center"/>
          </w:tcPr>
          <w:p w14:paraId="4FBD2EA4">
            <w:pPr>
              <w:keepNext w:val="0"/>
              <w:keepLines w:val="0"/>
              <w:pageBreakBefore w:val="0"/>
              <w:widowControl/>
              <w:suppressLineNumbers w:val="0"/>
              <w:wordWrap/>
              <w:overflowPunct/>
              <w:topLinePunct w:val="0"/>
              <w:bidi w:val="0"/>
              <w:spacing w:line="240" w:lineRule="auto"/>
              <w:jc w:val="center"/>
              <w:textAlignment w:val="center"/>
              <w:rPr>
                <w:rStyle w:val="14"/>
                <w:rFonts w:hint="default" w:ascii="Times New Roman" w:hAnsi="Times New Roman" w:cs="Times New Roman"/>
                <w:b w:val="0"/>
                <w:bCs w:val="0"/>
                <w:i w:val="0"/>
                <w:iCs w:val="0"/>
                <w:color w:val="auto"/>
                <w:sz w:val="18"/>
                <w:szCs w:val="18"/>
                <w:lang w:val="en-US" w:eastAsia="zh-CN" w:bidi="ar"/>
              </w:rPr>
            </w:pPr>
            <w:r>
              <w:rPr>
                <w:rStyle w:val="14"/>
                <w:rFonts w:hint="default" w:ascii="Times New Roman" w:hAnsi="Times New Roman" w:cs="Times New Roman"/>
                <w:b w:val="0"/>
                <w:bCs w:val="0"/>
                <w:i w:val="0"/>
                <w:iCs w:val="0"/>
                <w:color w:val="auto"/>
                <w:sz w:val="18"/>
                <w:szCs w:val="18"/>
                <w:lang w:val="en-US" w:eastAsia="zh-CN" w:bidi="ar"/>
              </w:rPr>
              <w:t>尿素%</w:t>
            </w:r>
          </w:p>
        </w:tc>
        <w:tc>
          <w:tcPr>
            <w:tcW w:w="672" w:type="pct"/>
            <w:shd w:val="clear" w:color="auto" w:fill="auto"/>
            <w:vAlign w:val="center"/>
          </w:tcPr>
          <w:p w14:paraId="7CC1D855">
            <w:pPr>
              <w:keepNext w:val="0"/>
              <w:keepLines w:val="0"/>
              <w:pageBreakBefore w:val="0"/>
              <w:widowControl/>
              <w:suppressLineNumbers w:val="0"/>
              <w:wordWrap/>
              <w:overflowPunct/>
              <w:topLinePunct w:val="0"/>
              <w:bidi w:val="0"/>
              <w:spacing w:line="240" w:lineRule="auto"/>
              <w:jc w:val="center"/>
              <w:textAlignment w:val="center"/>
              <w:rPr>
                <w:rStyle w:val="14"/>
                <w:rFonts w:hint="default" w:ascii="Times New Roman" w:hAnsi="Times New Roman" w:cs="Times New Roman"/>
                <w:b w:val="0"/>
                <w:bCs w:val="0"/>
                <w:i w:val="0"/>
                <w:iCs w:val="0"/>
                <w:color w:val="auto"/>
                <w:sz w:val="18"/>
                <w:szCs w:val="18"/>
                <w:lang w:val="en-US" w:eastAsia="zh-CN" w:bidi="ar"/>
              </w:rPr>
            </w:pPr>
            <w:r>
              <w:rPr>
                <w:rStyle w:val="14"/>
                <w:rFonts w:hint="default" w:ascii="Times New Roman" w:hAnsi="Times New Roman" w:cs="Times New Roman"/>
                <w:b w:val="0"/>
                <w:bCs w:val="0"/>
                <w:i w:val="0"/>
                <w:iCs w:val="0"/>
                <w:color w:val="auto"/>
                <w:sz w:val="18"/>
                <w:szCs w:val="18"/>
                <w:lang w:val="en-US" w:eastAsia="zh-CN" w:bidi="ar"/>
              </w:rPr>
              <w:t>尿素%</w:t>
            </w:r>
          </w:p>
        </w:tc>
        <w:tc>
          <w:tcPr>
            <w:tcW w:w="723" w:type="pct"/>
            <w:shd w:val="clear" w:color="auto" w:fill="auto"/>
            <w:vAlign w:val="top"/>
          </w:tcPr>
          <w:p w14:paraId="7467751E">
            <w:pPr>
              <w:keepNext w:val="0"/>
              <w:keepLines w:val="0"/>
              <w:pageBreakBefore w:val="0"/>
              <w:widowControl/>
              <w:suppressLineNumbers w:val="0"/>
              <w:wordWrap/>
              <w:overflowPunct/>
              <w:topLinePunct w:val="0"/>
              <w:bidi w:val="0"/>
              <w:spacing w:line="240" w:lineRule="auto"/>
              <w:jc w:val="center"/>
              <w:textAlignment w:val="center"/>
              <w:rPr>
                <w:rStyle w:val="14"/>
                <w:rFonts w:hint="default" w:ascii="Times New Roman" w:hAnsi="Times New Roman" w:cs="Times New Roman"/>
                <w:b w:val="0"/>
                <w:bCs w:val="0"/>
                <w:i w:val="0"/>
                <w:iCs w:val="0"/>
                <w:color w:val="auto"/>
                <w:sz w:val="18"/>
                <w:szCs w:val="18"/>
                <w:lang w:val="en-US" w:eastAsia="zh-CN" w:bidi="ar"/>
              </w:rPr>
            </w:pPr>
            <w:r>
              <w:rPr>
                <w:rStyle w:val="14"/>
                <w:rFonts w:hint="default" w:ascii="Times New Roman" w:hAnsi="Times New Roman" w:cs="Times New Roman"/>
                <w:b w:val="0"/>
                <w:bCs w:val="0"/>
                <w:i w:val="0"/>
                <w:iCs w:val="0"/>
                <w:color w:val="auto"/>
                <w:sz w:val="18"/>
                <w:szCs w:val="18"/>
                <w:lang w:val="en-US" w:eastAsia="zh-CN" w:bidi="ar"/>
              </w:rPr>
              <w:t>硝态氮</w:t>
            </w:r>
            <w:r>
              <w:rPr>
                <w:rStyle w:val="14"/>
                <w:rFonts w:hint="eastAsia" w:ascii="Times New Roman" w:hAnsi="Times New Roman" w:cs="Times New Roman"/>
                <w:b w:val="0"/>
                <w:bCs w:val="0"/>
                <w:i w:val="0"/>
                <w:iCs w:val="0"/>
                <w:color w:val="auto"/>
                <w:sz w:val="18"/>
                <w:szCs w:val="18"/>
                <w:lang w:val="en-US" w:eastAsia="zh-CN" w:bidi="ar"/>
              </w:rPr>
              <w:t>%</w:t>
            </w:r>
          </w:p>
        </w:tc>
        <w:tc>
          <w:tcPr>
            <w:tcW w:w="896" w:type="pct"/>
            <w:shd w:val="clear" w:color="auto" w:fill="auto"/>
            <w:vAlign w:val="top"/>
          </w:tcPr>
          <w:p w14:paraId="34EB5E05">
            <w:pPr>
              <w:keepNext w:val="0"/>
              <w:keepLines w:val="0"/>
              <w:pageBreakBefore w:val="0"/>
              <w:widowControl/>
              <w:suppressLineNumbers w:val="0"/>
              <w:wordWrap/>
              <w:overflowPunct/>
              <w:topLinePunct w:val="0"/>
              <w:bidi w:val="0"/>
              <w:spacing w:line="240" w:lineRule="auto"/>
              <w:jc w:val="center"/>
              <w:textAlignment w:val="center"/>
              <w:rPr>
                <w:rStyle w:val="14"/>
                <w:rFonts w:hint="default" w:ascii="Times New Roman" w:hAnsi="Times New Roman" w:cs="Times New Roman"/>
                <w:b w:val="0"/>
                <w:bCs w:val="0"/>
                <w:i w:val="0"/>
                <w:iCs w:val="0"/>
                <w:color w:val="auto"/>
                <w:sz w:val="18"/>
                <w:szCs w:val="18"/>
                <w:lang w:val="en-US" w:eastAsia="zh-CN" w:bidi="ar"/>
              </w:rPr>
            </w:pPr>
            <w:r>
              <w:rPr>
                <w:rStyle w:val="14"/>
                <w:rFonts w:hint="default" w:ascii="Times New Roman" w:hAnsi="Times New Roman" w:cs="Times New Roman"/>
                <w:b w:val="0"/>
                <w:bCs w:val="0"/>
                <w:i w:val="0"/>
                <w:iCs w:val="0"/>
                <w:color w:val="auto"/>
                <w:sz w:val="18"/>
                <w:szCs w:val="18"/>
                <w:lang w:val="en-US" w:eastAsia="zh-CN" w:bidi="ar"/>
              </w:rPr>
              <w:t>缩二脲氮</w:t>
            </w:r>
            <w:r>
              <w:rPr>
                <w:rStyle w:val="14"/>
                <w:rFonts w:hint="eastAsia" w:ascii="Times New Roman" w:hAnsi="Times New Roman" w:cs="Times New Roman"/>
                <w:b w:val="0"/>
                <w:bCs w:val="0"/>
                <w:i w:val="0"/>
                <w:iCs w:val="0"/>
                <w:color w:val="auto"/>
                <w:sz w:val="18"/>
                <w:szCs w:val="18"/>
                <w:lang w:val="en-US" w:eastAsia="zh-CN" w:bidi="ar"/>
              </w:rPr>
              <w:t>%</w:t>
            </w:r>
          </w:p>
        </w:tc>
      </w:tr>
      <w:tr w14:paraId="2FFAC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82" w:type="pct"/>
          </w:tcPr>
          <w:p w14:paraId="1FBD56FD">
            <w:pPr>
              <w:keepLines w:val="0"/>
              <w:pageBreakBefore w:val="0"/>
              <w:wordWrap/>
              <w:overflowPunct/>
              <w:topLinePunct w:val="0"/>
              <w:bidi w:val="0"/>
              <w:spacing w:line="240" w:lineRule="auto"/>
              <w:rPr>
                <w:rFonts w:hint="default" w:ascii="Times New Roman" w:hAnsi="Times New Roman" w:eastAsia="宋体" w:cs="Times New Roman"/>
                <w:b w:val="0"/>
                <w:bCs w:val="0"/>
                <w:color w:val="auto"/>
                <w:sz w:val="18"/>
                <w:szCs w:val="18"/>
                <w:lang w:val="en-US" w:eastAsia="zh-CN"/>
              </w:rPr>
            </w:pPr>
            <w:r>
              <w:rPr>
                <w:rFonts w:hint="default" w:ascii="Times New Roman" w:hAnsi="Times New Roman" w:eastAsia="宋体" w:cs="Times New Roman"/>
                <w:b w:val="0"/>
                <w:bCs w:val="0"/>
                <w:color w:val="auto"/>
                <w:sz w:val="18"/>
                <w:szCs w:val="18"/>
                <w:lang w:val="en-US" w:eastAsia="zh-CN"/>
              </w:rPr>
              <w:t>测定方法</w:t>
            </w:r>
          </w:p>
        </w:tc>
        <w:tc>
          <w:tcPr>
            <w:tcW w:w="659" w:type="pct"/>
            <w:vAlign w:val="center"/>
          </w:tcPr>
          <w:p w14:paraId="59807EA3">
            <w:pPr>
              <w:keepNext w:val="0"/>
              <w:keepLines w:val="0"/>
              <w:pageBreakBefore w:val="0"/>
              <w:widowControl/>
              <w:suppressLineNumbers w:val="0"/>
              <w:wordWrap/>
              <w:overflowPunct/>
              <w:topLinePunct w:val="0"/>
              <w:bidi w:val="0"/>
              <w:spacing w:line="240" w:lineRule="auto"/>
              <w:jc w:val="center"/>
              <w:textAlignment w:val="center"/>
              <w:rPr>
                <w:rStyle w:val="14"/>
                <w:rFonts w:hint="default" w:ascii="Times New Roman" w:hAnsi="Times New Roman" w:cs="Times New Roman"/>
                <w:b w:val="0"/>
                <w:bCs w:val="0"/>
                <w:color w:val="auto"/>
                <w:sz w:val="18"/>
                <w:szCs w:val="18"/>
                <w:lang w:val="en-US" w:eastAsia="zh-CN" w:bidi="ar"/>
              </w:rPr>
            </w:pPr>
          </w:p>
        </w:tc>
        <w:tc>
          <w:tcPr>
            <w:tcW w:w="764" w:type="pct"/>
            <w:vAlign w:val="center"/>
          </w:tcPr>
          <w:p w14:paraId="2ACBF83F">
            <w:pPr>
              <w:keepNext w:val="0"/>
              <w:keepLines w:val="0"/>
              <w:pageBreakBefore w:val="0"/>
              <w:widowControl/>
              <w:suppressLineNumbers w:val="0"/>
              <w:wordWrap/>
              <w:overflowPunct/>
              <w:topLinePunct w:val="0"/>
              <w:bidi w:val="0"/>
              <w:spacing w:line="240" w:lineRule="auto"/>
              <w:jc w:val="left"/>
              <w:textAlignment w:val="center"/>
              <w:rPr>
                <w:rStyle w:val="14"/>
                <w:rFonts w:hint="default" w:ascii="Times New Roman" w:hAnsi="Times New Roman" w:cs="Times New Roman"/>
                <w:b w:val="0"/>
                <w:bCs w:val="0"/>
                <w:color w:val="auto"/>
                <w:sz w:val="18"/>
                <w:szCs w:val="18"/>
                <w:lang w:val="en-US" w:eastAsia="zh-CN" w:bidi="ar"/>
              </w:rPr>
            </w:pPr>
            <w:r>
              <w:rPr>
                <w:rStyle w:val="14"/>
                <w:rFonts w:hint="default" w:ascii="Times New Roman" w:hAnsi="Times New Roman" w:cs="Times New Roman"/>
                <w:b w:val="0"/>
                <w:bCs w:val="0"/>
                <w:color w:val="auto"/>
                <w:sz w:val="18"/>
                <w:szCs w:val="18"/>
                <w:lang w:val="en-US" w:eastAsia="zh-CN" w:bidi="ar"/>
              </w:rPr>
              <w:t xml:space="preserve">GB/T22923 </w:t>
            </w:r>
          </w:p>
        </w:tc>
        <w:tc>
          <w:tcPr>
            <w:tcW w:w="699" w:type="pct"/>
            <w:shd w:val="clear" w:color="auto" w:fill="auto"/>
            <w:vAlign w:val="center"/>
          </w:tcPr>
          <w:p w14:paraId="2FCDD5A5">
            <w:pPr>
              <w:keepNext w:val="0"/>
              <w:keepLines w:val="0"/>
              <w:pageBreakBefore w:val="0"/>
              <w:widowControl/>
              <w:suppressLineNumbers w:val="0"/>
              <w:wordWrap/>
              <w:overflowPunct/>
              <w:topLinePunct w:val="0"/>
              <w:bidi w:val="0"/>
              <w:spacing w:line="240" w:lineRule="auto"/>
              <w:jc w:val="left"/>
              <w:textAlignment w:val="center"/>
              <w:rPr>
                <w:rStyle w:val="14"/>
                <w:rFonts w:hint="default" w:ascii="Times New Roman" w:hAnsi="Times New Roman" w:cs="Times New Roman"/>
                <w:b w:val="0"/>
                <w:bCs w:val="0"/>
                <w:color w:val="auto"/>
                <w:sz w:val="18"/>
                <w:szCs w:val="18"/>
                <w:lang w:val="en-US" w:eastAsia="zh-CN" w:bidi="ar"/>
              </w:rPr>
            </w:pPr>
            <w:r>
              <w:rPr>
                <w:rStyle w:val="14"/>
                <w:rFonts w:hint="default" w:ascii="Times New Roman" w:hAnsi="Times New Roman" w:cs="Times New Roman"/>
                <w:b w:val="0"/>
                <w:bCs w:val="0"/>
                <w:color w:val="auto"/>
                <w:sz w:val="18"/>
                <w:szCs w:val="18"/>
                <w:lang w:val="en-US" w:eastAsia="zh-CN" w:bidi="ar"/>
              </w:rPr>
              <w:t>ISO 19746</w:t>
            </w:r>
          </w:p>
        </w:tc>
        <w:tc>
          <w:tcPr>
            <w:tcW w:w="672" w:type="pct"/>
            <w:shd w:val="clear" w:color="auto" w:fill="auto"/>
            <w:vAlign w:val="center"/>
          </w:tcPr>
          <w:p w14:paraId="4435B921">
            <w:pPr>
              <w:keepNext w:val="0"/>
              <w:keepLines w:val="0"/>
              <w:pageBreakBefore w:val="0"/>
              <w:widowControl/>
              <w:suppressLineNumbers w:val="0"/>
              <w:wordWrap/>
              <w:overflowPunct/>
              <w:topLinePunct w:val="0"/>
              <w:bidi w:val="0"/>
              <w:spacing w:line="240" w:lineRule="auto"/>
              <w:jc w:val="left"/>
              <w:textAlignment w:val="center"/>
              <w:rPr>
                <w:rStyle w:val="14"/>
                <w:rFonts w:hint="default" w:ascii="Times New Roman" w:hAnsi="Times New Roman" w:cs="Times New Roman"/>
                <w:b w:val="0"/>
                <w:bCs w:val="0"/>
                <w:i w:val="0"/>
                <w:iCs w:val="0"/>
                <w:color w:val="auto"/>
                <w:sz w:val="18"/>
                <w:szCs w:val="18"/>
                <w:lang w:val="en-US" w:eastAsia="zh-CN" w:bidi="ar"/>
              </w:rPr>
            </w:pPr>
            <w:r>
              <w:rPr>
                <w:rStyle w:val="14"/>
                <w:rFonts w:hint="default" w:ascii="Times New Roman" w:hAnsi="Times New Roman" w:cs="Times New Roman"/>
                <w:b/>
                <w:bCs/>
                <w:i w:val="0"/>
                <w:iCs w:val="0"/>
                <w:color w:val="auto"/>
                <w:sz w:val="18"/>
                <w:szCs w:val="18"/>
                <w:lang w:val="en-US" w:eastAsia="zh-CN" w:bidi="ar"/>
              </w:rPr>
              <w:t>GB35113</w:t>
            </w:r>
          </w:p>
        </w:tc>
        <w:tc>
          <w:tcPr>
            <w:tcW w:w="723" w:type="pct"/>
            <w:shd w:val="clear" w:color="auto" w:fill="auto"/>
            <w:vAlign w:val="center"/>
          </w:tcPr>
          <w:p w14:paraId="07BCB57C">
            <w:pPr>
              <w:keepNext w:val="0"/>
              <w:keepLines w:val="0"/>
              <w:pageBreakBefore w:val="0"/>
              <w:widowControl/>
              <w:suppressLineNumbers w:val="0"/>
              <w:wordWrap/>
              <w:overflowPunct/>
              <w:topLinePunct w:val="0"/>
              <w:bidi w:val="0"/>
              <w:spacing w:line="240" w:lineRule="auto"/>
              <w:jc w:val="center"/>
              <w:textAlignment w:val="center"/>
              <w:rPr>
                <w:rStyle w:val="14"/>
                <w:rFonts w:hint="default" w:ascii="Times New Roman" w:hAnsi="Times New Roman" w:cs="Times New Roman"/>
                <w:b w:val="0"/>
                <w:bCs w:val="0"/>
                <w:i w:val="0"/>
                <w:iCs w:val="0"/>
                <w:color w:val="auto"/>
                <w:sz w:val="18"/>
                <w:szCs w:val="18"/>
                <w:lang w:val="en-US" w:eastAsia="zh-CN" w:bidi="ar"/>
              </w:rPr>
            </w:pPr>
            <w:r>
              <w:rPr>
                <w:rStyle w:val="14"/>
                <w:rFonts w:hint="default" w:ascii="Times New Roman" w:hAnsi="Times New Roman" w:cs="Times New Roman"/>
                <w:b w:val="0"/>
                <w:bCs w:val="0"/>
                <w:i w:val="0"/>
                <w:iCs w:val="0"/>
                <w:color w:val="auto"/>
                <w:sz w:val="18"/>
                <w:szCs w:val="18"/>
                <w:lang w:val="en-US" w:eastAsia="zh-CN" w:bidi="ar"/>
              </w:rPr>
              <w:t>GBT3597</w:t>
            </w:r>
          </w:p>
        </w:tc>
        <w:tc>
          <w:tcPr>
            <w:tcW w:w="896" w:type="pct"/>
            <w:shd w:val="clear" w:color="auto" w:fill="auto"/>
            <w:vAlign w:val="center"/>
          </w:tcPr>
          <w:p w14:paraId="4FFA3DD9">
            <w:pPr>
              <w:keepNext w:val="0"/>
              <w:keepLines w:val="0"/>
              <w:pageBreakBefore w:val="0"/>
              <w:widowControl/>
              <w:suppressLineNumbers w:val="0"/>
              <w:wordWrap/>
              <w:overflowPunct/>
              <w:topLinePunct w:val="0"/>
              <w:bidi w:val="0"/>
              <w:spacing w:line="240" w:lineRule="auto"/>
              <w:jc w:val="center"/>
              <w:textAlignment w:val="center"/>
              <w:rPr>
                <w:rStyle w:val="14"/>
                <w:rFonts w:hint="default" w:ascii="Times New Roman" w:hAnsi="Times New Roman" w:cs="Times New Roman"/>
                <w:b w:val="0"/>
                <w:bCs w:val="0"/>
                <w:i w:val="0"/>
                <w:iCs w:val="0"/>
                <w:color w:val="auto"/>
                <w:sz w:val="18"/>
                <w:szCs w:val="18"/>
                <w:lang w:val="en-US" w:eastAsia="zh-CN" w:bidi="ar"/>
              </w:rPr>
            </w:pPr>
            <w:r>
              <w:rPr>
                <w:rStyle w:val="14"/>
                <w:rFonts w:hint="default" w:ascii="Times New Roman" w:hAnsi="Times New Roman" w:cs="Times New Roman"/>
                <w:b w:val="0"/>
                <w:bCs w:val="0"/>
                <w:i w:val="0"/>
                <w:iCs w:val="0"/>
                <w:color w:val="auto"/>
                <w:sz w:val="18"/>
                <w:szCs w:val="18"/>
                <w:lang w:val="en-US" w:eastAsia="zh-CN" w:bidi="ar"/>
              </w:rPr>
              <w:t>GBT22924</w:t>
            </w:r>
          </w:p>
        </w:tc>
      </w:tr>
      <w:tr w14:paraId="7C2F9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tcPr>
          <w:p w14:paraId="16ADF36A">
            <w:pPr>
              <w:keepLines w:val="0"/>
              <w:pageBreakBefore w:val="0"/>
              <w:wordWrap/>
              <w:overflowPunct/>
              <w:topLinePunct w:val="0"/>
              <w:bidi w:val="0"/>
              <w:spacing w:line="240" w:lineRule="auto"/>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color w:val="auto"/>
                <w:sz w:val="18"/>
                <w:szCs w:val="18"/>
              </w:rPr>
              <w:t>（1）</w:t>
            </w:r>
          </w:p>
        </w:tc>
        <w:tc>
          <w:tcPr>
            <w:tcW w:w="659" w:type="pct"/>
            <w:vAlign w:val="center"/>
          </w:tcPr>
          <w:p w14:paraId="7ECEB22A">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26-10-12</w:t>
            </w:r>
          </w:p>
        </w:tc>
        <w:tc>
          <w:tcPr>
            <w:tcW w:w="764" w:type="pct"/>
            <w:vAlign w:val="center"/>
          </w:tcPr>
          <w:p w14:paraId="1CB6C4B4">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26.42 </w:t>
            </w:r>
          </w:p>
        </w:tc>
        <w:tc>
          <w:tcPr>
            <w:tcW w:w="699" w:type="pct"/>
            <w:vAlign w:val="center"/>
          </w:tcPr>
          <w:p w14:paraId="7195070E">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23.44 </w:t>
            </w:r>
          </w:p>
        </w:tc>
        <w:tc>
          <w:tcPr>
            <w:tcW w:w="672" w:type="pct"/>
            <w:vAlign w:val="center"/>
          </w:tcPr>
          <w:p w14:paraId="2AA6F632">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24.13 </w:t>
            </w:r>
          </w:p>
        </w:tc>
        <w:tc>
          <w:tcPr>
            <w:tcW w:w="723" w:type="pct"/>
            <w:vAlign w:val="center"/>
          </w:tcPr>
          <w:p w14:paraId="346491F8">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0.63 </w:t>
            </w:r>
          </w:p>
        </w:tc>
        <w:tc>
          <w:tcPr>
            <w:tcW w:w="896" w:type="pct"/>
            <w:shd w:val="clear" w:color="auto" w:fill="auto"/>
            <w:vAlign w:val="bottom"/>
          </w:tcPr>
          <w:p w14:paraId="31BE779E">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0.211 </w:t>
            </w:r>
          </w:p>
        </w:tc>
      </w:tr>
      <w:tr w14:paraId="4D6B0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tcPr>
          <w:p w14:paraId="73F43253">
            <w:pPr>
              <w:keepLines w:val="0"/>
              <w:pageBreakBefore w:val="0"/>
              <w:wordWrap/>
              <w:overflowPunct/>
              <w:topLinePunct w:val="0"/>
              <w:bidi w:val="0"/>
              <w:spacing w:line="240" w:lineRule="auto"/>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color w:val="auto"/>
                <w:sz w:val="18"/>
                <w:szCs w:val="18"/>
              </w:rPr>
              <w:t>（2）</w:t>
            </w:r>
          </w:p>
        </w:tc>
        <w:tc>
          <w:tcPr>
            <w:tcW w:w="659" w:type="pct"/>
            <w:vAlign w:val="center"/>
          </w:tcPr>
          <w:p w14:paraId="10DB7079">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26-11-11</w:t>
            </w:r>
          </w:p>
        </w:tc>
        <w:tc>
          <w:tcPr>
            <w:tcW w:w="764" w:type="pct"/>
            <w:vAlign w:val="center"/>
          </w:tcPr>
          <w:p w14:paraId="4A7381DE">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26.49 </w:t>
            </w:r>
          </w:p>
        </w:tc>
        <w:tc>
          <w:tcPr>
            <w:tcW w:w="699" w:type="pct"/>
            <w:vAlign w:val="center"/>
          </w:tcPr>
          <w:p w14:paraId="605A1ED2">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22.51 </w:t>
            </w:r>
          </w:p>
        </w:tc>
        <w:tc>
          <w:tcPr>
            <w:tcW w:w="672" w:type="pct"/>
            <w:vAlign w:val="center"/>
          </w:tcPr>
          <w:p w14:paraId="07A7D029">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23.22 </w:t>
            </w:r>
          </w:p>
        </w:tc>
        <w:tc>
          <w:tcPr>
            <w:tcW w:w="723" w:type="pct"/>
            <w:vAlign w:val="center"/>
          </w:tcPr>
          <w:p w14:paraId="1DDA0121">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0.75 </w:t>
            </w:r>
          </w:p>
        </w:tc>
        <w:tc>
          <w:tcPr>
            <w:tcW w:w="896" w:type="pct"/>
            <w:shd w:val="clear" w:color="auto" w:fill="auto"/>
            <w:vAlign w:val="bottom"/>
          </w:tcPr>
          <w:p w14:paraId="39D2B8CD">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0.161 </w:t>
            </w:r>
          </w:p>
        </w:tc>
      </w:tr>
      <w:tr w14:paraId="502DE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70ACFCAD">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（3）</w:t>
            </w:r>
          </w:p>
        </w:tc>
        <w:tc>
          <w:tcPr>
            <w:tcW w:w="659" w:type="pct"/>
            <w:vAlign w:val="center"/>
          </w:tcPr>
          <w:p w14:paraId="4E911A70">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25-10-10</w:t>
            </w:r>
          </w:p>
        </w:tc>
        <w:tc>
          <w:tcPr>
            <w:tcW w:w="764" w:type="pct"/>
            <w:vAlign w:val="center"/>
          </w:tcPr>
          <w:p w14:paraId="6250AB99">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25.75 </w:t>
            </w:r>
          </w:p>
        </w:tc>
        <w:tc>
          <w:tcPr>
            <w:tcW w:w="699" w:type="pct"/>
            <w:vAlign w:val="center"/>
          </w:tcPr>
          <w:p w14:paraId="4F4A220A">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20.93 </w:t>
            </w:r>
          </w:p>
        </w:tc>
        <w:tc>
          <w:tcPr>
            <w:tcW w:w="672" w:type="pct"/>
            <w:vAlign w:val="center"/>
          </w:tcPr>
          <w:p w14:paraId="7CB959F9">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21.59 </w:t>
            </w:r>
          </w:p>
        </w:tc>
        <w:tc>
          <w:tcPr>
            <w:tcW w:w="723" w:type="pct"/>
            <w:vAlign w:val="center"/>
          </w:tcPr>
          <w:p w14:paraId="2048FDEA">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1.12 </w:t>
            </w:r>
          </w:p>
        </w:tc>
        <w:tc>
          <w:tcPr>
            <w:tcW w:w="896" w:type="pct"/>
            <w:shd w:val="clear" w:color="auto" w:fill="auto"/>
            <w:vAlign w:val="bottom"/>
          </w:tcPr>
          <w:p w14:paraId="532B2193">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0.136 </w:t>
            </w:r>
          </w:p>
        </w:tc>
      </w:tr>
      <w:tr w14:paraId="00FAA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1D3E0948">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（4）</w:t>
            </w:r>
          </w:p>
        </w:tc>
        <w:tc>
          <w:tcPr>
            <w:tcW w:w="659" w:type="pct"/>
            <w:vAlign w:val="center"/>
          </w:tcPr>
          <w:p w14:paraId="621AA390">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lang w:val="en-US" w:eastAsia="zh-CN"/>
              </w:rPr>
            </w:pPr>
            <w:r>
              <w:rPr>
                <w:rFonts w:hint="default" w:ascii="Times New Roman" w:hAnsi="Times New Roman" w:eastAsia="宋体" w:cs="Times New Roman"/>
                <w:b w:val="0"/>
                <w:bCs w:val="0"/>
                <w:i w:val="0"/>
                <w:iCs w:val="0"/>
                <w:color w:val="auto"/>
                <w:kern w:val="0"/>
                <w:sz w:val="18"/>
                <w:szCs w:val="18"/>
                <w:u w:val="none"/>
                <w:lang w:val="en-US" w:eastAsia="zh-CN" w:bidi="ar"/>
              </w:rPr>
              <w:t>26-10-12</w:t>
            </w:r>
          </w:p>
        </w:tc>
        <w:tc>
          <w:tcPr>
            <w:tcW w:w="764" w:type="pct"/>
            <w:vAlign w:val="center"/>
          </w:tcPr>
          <w:p w14:paraId="663E6078">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26.42 </w:t>
            </w:r>
          </w:p>
        </w:tc>
        <w:tc>
          <w:tcPr>
            <w:tcW w:w="699" w:type="pct"/>
            <w:vAlign w:val="center"/>
          </w:tcPr>
          <w:p w14:paraId="4E7460C7">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23.40 </w:t>
            </w:r>
          </w:p>
        </w:tc>
        <w:tc>
          <w:tcPr>
            <w:tcW w:w="672" w:type="pct"/>
            <w:vAlign w:val="center"/>
          </w:tcPr>
          <w:p w14:paraId="4689B7A6">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23.18 </w:t>
            </w:r>
          </w:p>
        </w:tc>
        <w:tc>
          <w:tcPr>
            <w:tcW w:w="723" w:type="pct"/>
            <w:vAlign w:val="center"/>
          </w:tcPr>
          <w:p w14:paraId="5650B0A9">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0.05 </w:t>
            </w:r>
          </w:p>
        </w:tc>
        <w:tc>
          <w:tcPr>
            <w:tcW w:w="896" w:type="pct"/>
            <w:shd w:val="clear" w:color="auto" w:fill="auto"/>
            <w:vAlign w:val="bottom"/>
          </w:tcPr>
          <w:p w14:paraId="257ACFE8">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0.200 </w:t>
            </w:r>
          </w:p>
        </w:tc>
      </w:tr>
      <w:tr w14:paraId="54F6D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0EB49D3D">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（5）</w:t>
            </w:r>
          </w:p>
        </w:tc>
        <w:tc>
          <w:tcPr>
            <w:tcW w:w="659" w:type="pct"/>
            <w:vAlign w:val="center"/>
          </w:tcPr>
          <w:p w14:paraId="32ADA657">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lang w:val="en-US" w:eastAsia="zh-CN"/>
              </w:rPr>
            </w:pPr>
            <w:r>
              <w:rPr>
                <w:rFonts w:hint="default" w:ascii="Times New Roman" w:hAnsi="Times New Roman" w:eastAsia="宋体" w:cs="Times New Roman"/>
                <w:b w:val="0"/>
                <w:bCs w:val="0"/>
                <w:i w:val="0"/>
                <w:iCs w:val="0"/>
                <w:color w:val="auto"/>
                <w:kern w:val="0"/>
                <w:sz w:val="18"/>
                <w:szCs w:val="18"/>
                <w:u w:val="none"/>
                <w:lang w:val="en-US" w:eastAsia="zh-CN" w:bidi="ar"/>
              </w:rPr>
              <w:t>26-10-12</w:t>
            </w:r>
          </w:p>
        </w:tc>
        <w:tc>
          <w:tcPr>
            <w:tcW w:w="764" w:type="pct"/>
            <w:vAlign w:val="center"/>
          </w:tcPr>
          <w:p w14:paraId="5FB8C1BD">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25.70 </w:t>
            </w:r>
          </w:p>
        </w:tc>
        <w:tc>
          <w:tcPr>
            <w:tcW w:w="699" w:type="pct"/>
            <w:vAlign w:val="center"/>
          </w:tcPr>
          <w:p w14:paraId="6BE34CDF">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21.93 </w:t>
            </w:r>
          </w:p>
        </w:tc>
        <w:tc>
          <w:tcPr>
            <w:tcW w:w="672" w:type="pct"/>
            <w:vAlign w:val="center"/>
          </w:tcPr>
          <w:p w14:paraId="19C16683">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22.03 </w:t>
            </w:r>
          </w:p>
        </w:tc>
        <w:tc>
          <w:tcPr>
            <w:tcW w:w="723" w:type="pct"/>
            <w:vAlign w:val="center"/>
          </w:tcPr>
          <w:p w14:paraId="5F33DA35">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0.89 </w:t>
            </w:r>
          </w:p>
        </w:tc>
        <w:tc>
          <w:tcPr>
            <w:tcW w:w="896" w:type="pct"/>
            <w:shd w:val="clear" w:color="auto" w:fill="auto"/>
            <w:vAlign w:val="bottom"/>
          </w:tcPr>
          <w:p w14:paraId="0EF17A46">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0.148 </w:t>
            </w:r>
          </w:p>
        </w:tc>
      </w:tr>
      <w:tr w14:paraId="10AFA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161F8489">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（6）</w:t>
            </w:r>
          </w:p>
        </w:tc>
        <w:tc>
          <w:tcPr>
            <w:tcW w:w="659" w:type="pct"/>
            <w:vAlign w:val="center"/>
          </w:tcPr>
          <w:p w14:paraId="0FCECD42">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lang w:val="en-US" w:eastAsia="zh-CN"/>
              </w:rPr>
            </w:pPr>
            <w:r>
              <w:rPr>
                <w:rFonts w:hint="default" w:ascii="Times New Roman" w:hAnsi="Times New Roman" w:eastAsia="宋体" w:cs="Times New Roman"/>
                <w:b w:val="0"/>
                <w:bCs w:val="0"/>
                <w:i w:val="0"/>
                <w:iCs w:val="0"/>
                <w:color w:val="auto"/>
                <w:kern w:val="0"/>
                <w:sz w:val="18"/>
                <w:szCs w:val="18"/>
                <w:u w:val="none"/>
                <w:lang w:val="en-US" w:eastAsia="zh-CN" w:bidi="ar"/>
              </w:rPr>
              <w:t>26-11-11</w:t>
            </w:r>
          </w:p>
        </w:tc>
        <w:tc>
          <w:tcPr>
            <w:tcW w:w="764" w:type="pct"/>
            <w:vAlign w:val="center"/>
          </w:tcPr>
          <w:p w14:paraId="5DF85228">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27.03 </w:t>
            </w:r>
          </w:p>
        </w:tc>
        <w:tc>
          <w:tcPr>
            <w:tcW w:w="699" w:type="pct"/>
            <w:vAlign w:val="center"/>
          </w:tcPr>
          <w:p w14:paraId="1D409636">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24.00 </w:t>
            </w:r>
          </w:p>
        </w:tc>
        <w:tc>
          <w:tcPr>
            <w:tcW w:w="672" w:type="pct"/>
            <w:vAlign w:val="center"/>
          </w:tcPr>
          <w:p w14:paraId="32C5056E">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24.79 </w:t>
            </w:r>
          </w:p>
        </w:tc>
        <w:tc>
          <w:tcPr>
            <w:tcW w:w="723" w:type="pct"/>
            <w:vAlign w:val="center"/>
          </w:tcPr>
          <w:p w14:paraId="05CF6DA2">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2.16 </w:t>
            </w:r>
          </w:p>
        </w:tc>
        <w:tc>
          <w:tcPr>
            <w:tcW w:w="896" w:type="pct"/>
            <w:shd w:val="clear" w:color="auto" w:fill="auto"/>
            <w:vAlign w:val="bottom"/>
          </w:tcPr>
          <w:p w14:paraId="3CE351CF">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0.160 </w:t>
            </w:r>
          </w:p>
        </w:tc>
      </w:tr>
      <w:tr w14:paraId="549C9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1FB42390">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（7）</w:t>
            </w:r>
          </w:p>
        </w:tc>
        <w:tc>
          <w:tcPr>
            <w:tcW w:w="659" w:type="pct"/>
            <w:vAlign w:val="center"/>
          </w:tcPr>
          <w:p w14:paraId="58B7B364">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26-12-12</w:t>
            </w:r>
          </w:p>
        </w:tc>
        <w:tc>
          <w:tcPr>
            <w:tcW w:w="764" w:type="pct"/>
            <w:vAlign w:val="center"/>
          </w:tcPr>
          <w:p w14:paraId="5013A7C7">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25.68 </w:t>
            </w:r>
          </w:p>
        </w:tc>
        <w:tc>
          <w:tcPr>
            <w:tcW w:w="699" w:type="pct"/>
            <w:vAlign w:val="center"/>
          </w:tcPr>
          <w:p w14:paraId="76E473BE">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21.60 </w:t>
            </w:r>
          </w:p>
        </w:tc>
        <w:tc>
          <w:tcPr>
            <w:tcW w:w="672" w:type="pct"/>
            <w:vAlign w:val="center"/>
          </w:tcPr>
          <w:p w14:paraId="05492C91">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23.55 </w:t>
            </w:r>
          </w:p>
        </w:tc>
        <w:tc>
          <w:tcPr>
            <w:tcW w:w="723" w:type="pct"/>
            <w:vAlign w:val="center"/>
          </w:tcPr>
          <w:p w14:paraId="0051576F">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0.34 </w:t>
            </w:r>
          </w:p>
        </w:tc>
        <w:tc>
          <w:tcPr>
            <w:tcW w:w="896" w:type="pct"/>
            <w:shd w:val="clear" w:color="auto" w:fill="auto"/>
            <w:vAlign w:val="bottom"/>
          </w:tcPr>
          <w:p w14:paraId="45E2112C">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0.162 </w:t>
            </w:r>
          </w:p>
        </w:tc>
      </w:tr>
      <w:tr w14:paraId="02BA4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3C56432B">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（8）</w:t>
            </w:r>
          </w:p>
        </w:tc>
        <w:tc>
          <w:tcPr>
            <w:tcW w:w="659" w:type="pct"/>
            <w:vAlign w:val="center"/>
          </w:tcPr>
          <w:p w14:paraId="49300010">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26-12-12</w:t>
            </w:r>
          </w:p>
        </w:tc>
        <w:tc>
          <w:tcPr>
            <w:tcW w:w="764" w:type="pct"/>
            <w:vAlign w:val="center"/>
          </w:tcPr>
          <w:p w14:paraId="69AC23E6">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26.28 </w:t>
            </w:r>
          </w:p>
        </w:tc>
        <w:tc>
          <w:tcPr>
            <w:tcW w:w="699" w:type="pct"/>
            <w:vAlign w:val="center"/>
          </w:tcPr>
          <w:p w14:paraId="092FFB41">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23.23 </w:t>
            </w:r>
          </w:p>
        </w:tc>
        <w:tc>
          <w:tcPr>
            <w:tcW w:w="672" w:type="pct"/>
            <w:vAlign w:val="center"/>
          </w:tcPr>
          <w:p w14:paraId="4D3E4D5B">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24.29 </w:t>
            </w:r>
          </w:p>
        </w:tc>
        <w:tc>
          <w:tcPr>
            <w:tcW w:w="723" w:type="pct"/>
            <w:vAlign w:val="center"/>
          </w:tcPr>
          <w:p w14:paraId="36C0807A">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0.89 </w:t>
            </w:r>
          </w:p>
        </w:tc>
        <w:tc>
          <w:tcPr>
            <w:tcW w:w="896" w:type="pct"/>
            <w:shd w:val="clear" w:color="auto" w:fill="auto"/>
            <w:vAlign w:val="bottom"/>
          </w:tcPr>
          <w:p w14:paraId="6B11C981">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0.188 </w:t>
            </w:r>
          </w:p>
        </w:tc>
      </w:tr>
      <w:tr w14:paraId="4EDBA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tcPr>
          <w:p w14:paraId="14207F5A">
            <w:pPr>
              <w:keepLines w:val="0"/>
              <w:pageBreakBefore w:val="0"/>
              <w:wordWrap/>
              <w:overflowPunct/>
              <w:topLinePunct w:val="0"/>
              <w:bidi w:val="0"/>
              <w:spacing w:line="240" w:lineRule="auto"/>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9</w:t>
            </w:r>
            <w:r>
              <w:rPr>
                <w:rFonts w:hint="default" w:ascii="Times New Roman" w:hAnsi="Times New Roman" w:eastAsia="宋体" w:cs="Times New Roman"/>
                <w:b w:val="0"/>
                <w:bCs w:val="0"/>
                <w:color w:val="auto"/>
                <w:sz w:val="18"/>
                <w:szCs w:val="18"/>
              </w:rPr>
              <w:t>）</w:t>
            </w:r>
          </w:p>
        </w:tc>
        <w:tc>
          <w:tcPr>
            <w:tcW w:w="659" w:type="pct"/>
            <w:vAlign w:val="center"/>
          </w:tcPr>
          <w:p w14:paraId="52F3305D">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24-15-6</w:t>
            </w:r>
          </w:p>
        </w:tc>
        <w:tc>
          <w:tcPr>
            <w:tcW w:w="764" w:type="pct"/>
            <w:vAlign w:val="center"/>
          </w:tcPr>
          <w:p w14:paraId="6AF47763">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26.22 </w:t>
            </w:r>
          </w:p>
        </w:tc>
        <w:tc>
          <w:tcPr>
            <w:tcW w:w="699" w:type="pct"/>
            <w:vAlign w:val="center"/>
          </w:tcPr>
          <w:p w14:paraId="5A08E057">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17.35 </w:t>
            </w:r>
          </w:p>
        </w:tc>
        <w:tc>
          <w:tcPr>
            <w:tcW w:w="672" w:type="pct"/>
            <w:vAlign w:val="center"/>
          </w:tcPr>
          <w:p w14:paraId="73CFCF0D">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17.05 </w:t>
            </w:r>
          </w:p>
        </w:tc>
        <w:tc>
          <w:tcPr>
            <w:tcW w:w="723" w:type="pct"/>
            <w:vAlign w:val="center"/>
          </w:tcPr>
          <w:p w14:paraId="21D1B742">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0.10 </w:t>
            </w:r>
          </w:p>
        </w:tc>
        <w:tc>
          <w:tcPr>
            <w:tcW w:w="896" w:type="pct"/>
            <w:shd w:val="clear" w:color="auto" w:fill="auto"/>
            <w:vAlign w:val="bottom"/>
          </w:tcPr>
          <w:p w14:paraId="6654B93D">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0.148 </w:t>
            </w:r>
          </w:p>
        </w:tc>
      </w:tr>
      <w:tr w14:paraId="239B7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tcPr>
          <w:p w14:paraId="7C6CAFE8">
            <w:pPr>
              <w:keepLines w:val="0"/>
              <w:pageBreakBefore w:val="0"/>
              <w:wordWrap/>
              <w:overflowPunct/>
              <w:topLinePunct w:val="0"/>
              <w:bidi w:val="0"/>
              <w:spacing w:line="240" w:lineRule="auto"/>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10</w:t>
            </w:r>
            <w:r>
              <w:rPr>
                <w:rFonts w:hint="default" w:ascii="Times New Roman" w:hAnsi="Times New Roman" w:eastAsia="宋体" w:cs="Times New Roman"/>
                <w:b w:val="0"/>
                <w:bCs w:val="0"/>
                <w:color w:val="auto"/>
                <w:sz w:val="18"/>
                <w:szCs w:val="18"/>
              </w:rPr>
              <w:t>）</w:t>
            </w:r>
          </w:p>
        </w:tc>
        <w:tc>
          <w:tcPr>
            <w:tcW w:w="659" w:type="pct"/>
            <w:vAlign w:val="center"/>
          </w:tcPr>
          <w:p w14:paraId="5CCC2210">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24-15-6</w:t>
            </w:r>
          </w:p>
        </w:tc>
        <w:tc>
          <w:tcPr>
            <w:tcW w:w="764" w:type="pct"/>
            <w:vAlign w:val="center"/>
          </w:tcPr>
          <w:p w14:paraId="70007406">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26.51 </w:t>
            </w:r>
          </w:p>
        </w:tc>
        <w:tc>
          <w:tcPr>
            <w:tcW w:w="699" w:type="pct"/>
            <w:vAlign w:val="center"/>
          </w:tcPr>
          <w:p w14:paraId="7535621F">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15.67 </w:t>
            </w:r>
          </w:p>
        </w:tc>
        <w:tc>
          <w:tcPr>
            <w:tcW w:w="672" w:type="pct"/>
            <w:vAlign w:val="center"/>
          </w:tcPr>
          <w:p w14:paraId="30A55384">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16.99 </w:t>
            </w:r>
          </w:p>
        </w:tc>
        <w:tc>
          <w:tcPr>
            <w:tcW w:w="723" w:type="pct"/>
            <w:vAlign w:val="center"/>
          </w:tcPr>
          <w:p w14:paraId="0800865C">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0.18 </w:t>
            </w:r>
          </w:p>
        </w:tc>
        <w:tc>
          <w:tcPr>
            <w:tcW w:w="896" w:type="pct"/>
            <w:shd w:val="clear" w:color="auto" w:fill="auto"/>
            <w:vAlign w:val="bottom"/>
          </w:tcPr>
          <w:p w14:paraId="7DF04A7B">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0.145 </w:t>
            </w:r>
          </w:p>
        </w:tc>
      </w:tr>
      <w:tr w14:paraId="3137F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tcPr>
          <w:p w14:paraId="4C5875B9">
            <w:pPr>
              <w:keepLines w:val="0"/>
              <w:pageBreakBefore w:val="0"/>
              <w:wordWrap/>
              <w:overflowPunct/>
              <w:topLinePunct w:val="0"/>
              <w:bidi w:val="0"/>
              <w:spacing w:line="240" w:lineRule="auto"/>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11</w:t>
            </w:r>
            <w:r>
              <w:rPr>
                <w:rFonts w:hint="default" w:ascii="Times New Roman" w:hAnsi="Times New Roman" w:eastAsia="宋体" w:cs="Times New Roman"/>
                <w:b w:val="0"/>
                <w:bCs w:val="0"/>
                <w:color w:val="auto"/>
                <w:sz w:val="18"/>
                <w:szCs w:val="18"/>
              </w:rPr>
              <w:t>）</w:t>
            </w:r>
          </w:p>
        </w:tc>
        <w:tc>
          <w:tcPr>
            <w:tcW w:w="659" w:type="pct"/>
            <w:vAlign w:val="center"/>
          </w:tcPr>
          <w:p w14:paraId="4ACF2495">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26-11-11</w:t>
            </w:r>
          </w:p>
        </w:tc>
        <w:tc>
          <w:tcPr>
            <w:tcW w:w="764" w:type="pct"/>
            <w:vAlign w:val="center"/>
          </w:tcPr>
          <w:p w14:paraId="0EC23A8F">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FF0000"/>
                <w:kern w:val="0"/>
                <w:sz w:val="18"/>
                <w:szCs w:val="18"/>
                <w:u w:val="none"/>
                <w:lang w:val="en-US" w:eastAsia="zh-CN" w:bidi="ar"/>
              </w:rPr>
            </w:pPr>
            <w:r>
              <w:rPr>
                <w:rFonts w:hint="default" w:ascii="Times New Roman" w:hAnsi="Times New Roman" w:eastAsia="宋体" w:cs="Times New Roman"/>
                <w:b w:val="0"/>
                <w:bCs w:val="0"/>
                <w:i w:val="0"/>
                <w:iCs w:val="0"/>
                <w:color w:val="FF0000"/>
                <w:kern w:val="0"/>
                <w:sz w:val="18"/>
                <w:szCs w:val="18"/>
                <w:u w:val="none"/>
                <w:lang w:val="en-US" w:eastAsia="zh-CN" w:bidi="ar"/>
              </w:rPr>
              <w:t xml:space="preserve">35.60 </w:t>
            </w:r>
          </w:p>
        </w:tc>
        <w:tc>
          <w:tcPr>
            <w:tcW w:w="699" w:type="pct"/>
            <w:vAlign w:val="center"/>
          </w:tcPr>
          <w:p w14:paraId="36E1D823">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FF0000"/>
                <w:kern w:val="0"/>
                <w:sz w:val="18"/>
                <w:szCs w:val="18"/>
                <w:u w:val="none"/>
                <w:lang w:val="en-US" w:eastAsia="zh-CN" w:bidi="ar"/>
              </w:rPr>
            </w:pPr>
            <w:r>
              <w:rPr>
                <w:rFonts w:hint="default" w:ascii="Times New Roman" w:hAnsi="Times New Roman" w:eastAsia="宋体" w:cs="Times New Roman"/>
                <w:b w:val="0"/>
                <w:bCs w:val="0"/>
                <w:i w:val="0"/>
                <w:iCs w:val="0"/>
                <w:color w:val="FF0000"/>
                <w:kern w:val="0"/>
                <w:sz w:val="18"/>
                <w:szCs w:val="18"/>
                <w:u w:val="none"/>
                <w:lang w:val="en-US" w:eastAsia="zh-CN" w:bidi="ar"/>
              </w:rPr>
              <w:t>31.51</w:t>
            </w:r>
          </w:p>
        </w:tc>
        <w:tc>
          <w:tcPr>
            <w:tcW w:w="672" w:type="pct"/>
            <w:vAlign w:val="center"/>
          </w:tcPr>
          <w:p w14:paraId="59F93FA6">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FF0000"/>
                <w:kern w:val="0"/>
                <w:sz w:val="18"/>
                <w:szCs w:val="18"/>
                <w:u w:val="none"/>
                <w:lang w:val="en-US" w:eastAsia="zh-CN" w:bidi="ar"/>
              </w:rPr>
            </w:pPr>
            <w:r>
              <w:rPr>
                <w:rFonts w:hint="default" w:ascii="Times New Roman" w:hAnsi="Times New Roman" w:eastAsia="宋体" w:cs="Times New Roman"/>
                <w:b w:val="0"/>
                <w:bCs w:val="0"/>
                <w:i w:val="0"/>
                <w:iCs w:val="0"/>
                <w:color w:val="FF0000"/>
                <w:kern w:val="0"/>
                <w:sz w:val="18"/>
                <w:szCs w:val="18"/>
                <w:u w:val="none"/>
                <w:lang w:val="en-US" w:eastAsia="zh-CN" w:bidi="ar"/>
              </w:rPr>
              <w:t xml:space="preserve">33.39 </w:t>
            </w:r>
          </w:p>
        </w:tc>
        <w:tc>
          <w:tcPr>
            <w:tcW w:w="723" w:type="pct"/>
            <w:vAlign w:val="center"/>
          </w:tcPr>
          <w:p w14:paraId="08F10C65">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0.38 </w:t>
            </w:r>
          </w:p>
        </w:tc>
        <w:tc>
          <w:tcPr>
            <w:tcW w:w="896" w:type="pct"/>
            <w:shd w:val="clear" w:color="auto" w:fill="auto"/>
            <w:vAlign w:val="bottom"/>
          </w:tcPr>
          <w:p w14:paraId="33EFE8E0">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0.321 </w:t>
            </w:r>
          </w:p>
        </w:tc>
      </w:tr>
      <w:tr w14:paraId="293E6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tcPr>
          <w:p w14:paraId="40100E98">
            <w:pPr>
              <w:keepLines w:val="0"/>
              <w:pageBreakBefore w:val="0"/>
              <w:wordWrap/>
              <w:overflowPunct/>
              <w:topLinePunct w:val="0"/>
              <w:bidi w:val="0"/>
              <w:spacing w:line="240" w:lineRule="auto"/>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12</w:t>
            </w:r>
            <w:r>
              <w:rPr>
                <w:rFonts w:hint="default" w:ascii="Times New Roman" w:hAnsi="Times New Roman" w:eastAsia="宋体" w:cs="Times New Roman"/>
                <w:b w:val="0"/>
                <w:bCs w:val="0"/>
                <w:color w:val="auto"/>
                <w:sz w:val="18"/>
                <w:szCs w:val="18"/>
              </w:rPr>
              <w:t>）</w:t>
            </w:r>
          </w:p>
        </w:tc>
        <w:tc>
          <w:tcPr>
            <w:tcW w:w="659" w:type="pct"/>
            <w:vAlign w:val="center"/>
          </w:tcPr>
          <w:p w14:paraId="334887F7">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26-11-11</w:t>
            </w:r>
          </w:p>
        </w:tc>
        <w:tc>
          <w:tcPr>
            <w:tcW w:w="764" w:type="pct"/>
            <w:vAlign w:val="center"/>
          </w:tcPr>
          <w:p w14:paraId="0061F6E6">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FF0000"/>
                <w:kern w:val="0"/>
                <w:sz w:val="18"/>
                <w:szCs w:val="18"/>
                <w:u w:val="none"/>
                <w:lang w:val="en-US" w:eastAsia="zh-CN" w:bidi="ar"/>
              </w:rPr>
            </w:pPr>
            <w:r>
              <w:rPr>
                <w:rFonts w:hint="default" w:ascii="Times New Roman" w:hAnsi="Times New Roman" w:eastAsia="宋体" w:cs="Times New Roman"/>
                <w:b w:val="0"/>
                <w:bCs w:val="0"/>
                <w:i w:val="0"/>
                <w:iCs w:val="0"/>
                <w:color w:val="FF0000"/>
                <w:kern w:val="0"/>
                <w:sz w:val="18"/>
                <w:szCs w:val="18"/>
                <w:u w:val="none"/>
                <w:lang w:val="en-US" w:eastAsia="zh-CN" w:bidi="ar"/>
              </w:rPr>
              <w:t xml:space="preserve">33.84 </w:t>
            </w:r>
          </w:p>
        </w:tc>
        <w:tc>
          <w:tcPr>
            <w:tcW w:w="699" w:type="pct"/>
            <w:vAlign w:val="center"/>
          </w:tcPr>
          <w:p w14:paraId="09961DB0">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FF0000"/>
                <w:kern w:val="0"/>
                <w:sz w:val="18"/>
                <w:szCs w:val="18"/>
                <w:u w:val="none"/>
                <w:lang w:val="en-US" w:eastAsia="zh-CN" w:bidi="ar"/>
              </w:rPr>
            </w:pPr>
            <w:r>
              <w:rPr>
                <w:rFonts w:hint="default" w:ascii="Times New Roman" w:hAnsi="Times New Roman" w:eastAsia="宋体" w:cs="Times New Roman"/>
                <w:b w:val="0"/>
                <w:bCs w:val="0"/>
                <w:i w:val="0"/>
                <w:iCs w:val="0"/>
                <w:color w:val="FF0000"/>
                <w:kern w:val="0"/>
                <w:sz w:val="18"/>
                <w:szCs w:val="18"/>
                <w:u w:val="none"/>
                <w:lang w:val="en-US" w:eastAsia="zh-CN" w:bidi="ar"/>
              </w:rPr>
              <w:t>31.75</w:t>
            </w:r>
          </w:p>
        </w:tc>
        <w:tc>
          <w:tcPr>
            <w:tcW w:w="672" w:type="pct"/>
            <w:vAlign w:val="center"/>
          </w:tcPr>
          <w:p w14:paraId="45EB5B72">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FF0000"/>
                <w:kern w:val="0"/>
                <w:sz w:val="18"/>
                <w:szCs w:val="18"/>
                <w:u w:val="none"/>
                <w:lang w:val="en-US" w:eastAsia="zh-CN" w:bidi="ar"/>
              </w:rPr>
            </w:pPr>
            <w:r>
              <w:rPr>
                <w:rFonts w:hint="default" w:ascii="Times New Roman" w:hAnsi="Times New Roman" w:eastAsia="宋体" w:cs="Times New Roman"/>
                <w:b w:val="0"/>
                <w:bCs w:val="0"/>
                <w:i w:val="0"/>
                <w:iCs w:val="0"/>
                <w:color w:val="FF0000"/>
                <w:kern w:val="0"/>
                <w:sz w:val="18"/>
                <w:szCs w:val="18"/>
                <w:u w:val="none"/>
                <w:lang w:val="en-US" w:eastAsia="zh-CN" w:bidi="ar"/>
              </w:rPr>
              <w:t xml:space="preserve">32.71 </w:t>
            </w:r>
          </w:p>
        </w:tc>
        <w:tc>
          <w:tcPr>
            <w:tcW w:w="723" w:type="pct"/>
            <w:vAlign w:val="center"/>
          </w:tcPr>
          <w:p w14:paraId="1EE5F37C">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0.12 </w:t>
            </w:r>
          </w:p>
        </w:tc>
        <w:tc>
          <w:tcPr>
            <w:tcW w:w="896" w:type="pct"/>
            <w:shd w:val="clear" w:color="auto" w:fill="auto"/>
            <w:vAlign w:val="bottom"/>
          </w:tcPr>
          <w:p w14:paraId="2FF659D4">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0.289 </w:t>
            </w:r>
          </w:p>
        </w:tc>
      </w:tr>
      <w:tr w14:paraId="2CF27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tcPr>
          <w:p w14:paraId="7300D6EB">
            <w:pPr>
              <w:keepLines w:val="0"/>
              <w:pageBreakBefore w:val="0"/>
              <w:wordWrap/>
              <w:overflowPunct/>
              <w:topLinePunct w:val="0"/>
              <w:bidi w:val="0"/>
              <w:spacing w:line="240" w:lineRule="auto"/>
              <w:rPr>
                <w:rFonts w:hint="default" w:ascii="Times New Roman" w:hAnsi="Times New Roman" w:eastAsia="宋体" w:cs="Times New Roman"/>
                <w:b w:val="0"/>
                <w:bCs w:val="0"/>
                <w:color w:val="auto"/>
                <w:sz w:val="18"/>
                <w:szCs w:val="18"/>
                <w:lang w:eastAsia="zh-CN"/>
              </w:rPr>
            </w:pPr>
            <w:r>
              <w:rPr>
                <w:rFonts w:hint="default" w:ascii="Times New Roman" w:hAnsi="Times New Roman" w:eastAsia="宋体" w:cs="Times New Roman"/>
                <w:b w:val="0"/>
                <w:bCs w:val="0"/>
                <w:color w:val="auto"/>
                <w:sz w:val="18"/>
                <w:szCs w:val="18"/>
                <w:lang w:eastAsia="zh-CN"/>
              </w:rPr>
              <w:t>（</w:t>
            </w:r>
            <w:r>
              <w:rPr>
                <w:rFonts w:hint="default" w:ascii="Times New Roman" w:hAnsi="Times New Roman" w:eastAsia="宋体" w:cs="Times New Roman"/>
                <w:b w:val="0"/>
                <w:bCs w:val="0"/>
                <w:color w:val="auto"/>
                <w:sz w:val="18"/>
                <w:szCs w:val="18"/>
                <w:lang w:val="en-US" w:eastAsia="zh-CN"/>
              </w:rPr>
              <w:t>13</w:t>
            </w:r>
            <w:r>
              <w:rPr>
                <w:rFonts w:hint="default" w:ascii="Times New Roman" w:hAnsi="Times New Roman" w:eastAsia="宋体" w:cs="Times New Roman"/>
                <w:b w:val="0"/>
                <w:bCs w:val="0"/>
                <w:color w:val="auto"/>
                <w:sz w:val="18"/>
                <w:szCs w:val="18"/>
                <w:lang w:eastAsia="zh-CN"/>
              </w:rPr>
              <w:t>）</w:t>
            </w:r>
          </w:p>
        </w:tc>
        <w:tc>
          <w:tcPr>
            <w:tcW w:w="659" w:type="pct"/>
            <w:vAlign w:val="center"/>
          </w:tcPr>
          <w:p w14:paraId="72B181DF">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26-11-11</w:t>
            </w:r>
          </w:p>
        </w:tc>
        <w:tc>
          <w:tcPr>
            <w:tcW w:w="764" w:type="pct"/>
            <w:vAlign w:val="center"/>
          </w:tcPr>
          <w:p w14:paraId="32AD7382">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27.62 </w:t>
            </w:r>
          </w:p>
        </w:tc>
        <w:tc>
          <w:tcPr>
            <w:tcW w:w="699" w:type="pct"/>
            <w:vAlign w:val="center"/>
          </w:tcPr>
          <w:p w14:paraId="7591F8F3">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25.78 </w:t>
            </w:r>
          </w:p>
        </w:tc>
        <w:tc>
          <w:tcPr>
            <w:tcW w:w="672" w:type="pct"/>
            <w:vAlign w:val="center"/>
          </w:tcPr>
          <w:p w14:paraId="2F8C7D7D">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26.21 </w:t>
            </w:r>
          </w:p>
        </w:tc>
        <w:tc>
          <w:tcPr>
            <w:tcW w:w="723" w:type="pct"/>
            <w:vAlign w:val="center"/>
          </w:tcPr>
          <w:p w14:paraId="3D32A2B4">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0.24 </w:t>
            </w:r>
          </w:p>
        </w:tc>
        <w:tc>
          <w:tcPr>
            <w:tcW w:w="896" w:type="pct"/>
            <w:shd w:val="clear" w:color="auto" w:fill="auto"/>
            <w:vAlign w:val="bottom"/>
          </w:tcPr>
          <w:p w14:paraId="242D013F">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0.278 </w:t>
            </w:r>
          </w:p>
        </w:tc>
      </w:tr>
      <w:tr w14:paraId="49E45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tcPr>
          <w:p w14:paraId="24A0356C">
            <w:pPr>
              <w:keepLines w:val="0"/>
              <w:pageBreakBefore w:val="0"/>
              <w:wordWrap/>
              <w:overflowPunct/>
              <w:topLinePunct w:val="0"/>
              <w:bidi w:val="0"/>
              <w:spacing w:line="240" w:lineRule="auto"/>
              <w:rPr>
                <w:rFonts w:hint="default" w:ascii="Times New Roman" w:hAnsi="Times New Roman" w:eastAsia="宋体" w:cs="Times New Roman"/>
                <w:b w:val="0"/>
                <w:bCs w:val="0"/>
                <w:color w:val="auto"/>
                <w:sz w:val="18"/>
                <w:szCs w:val="18"/>
                <w:lang w:eastAsia="zh-CN"/>
              </w:rPr>
            </w:pPr>
            <w:r>
              <w:rPr>
                <w:rFonts w:hint="default" w:ascii="Times New Roman" w:hAnsi="Times New Roman" w:eastAsia="宋体" w:cs="Times New Roman"/>
                <w:b w:val="0"/>
                <w:bCs w:val="0"/>
                <w:color w:val="auto"/>
                <w:sz w:val="18"/>
                <w:szCs w:val="18"/>
                <w:lang w:eastAsia="zh-CN"/>
              </w:rPr>
              <w:t>（</w:t>
            </w:r>
            <w:r>
              <w:rPr>
                <w:rFonts w:hint="default" w:ascii="Times New Roman" w:hAnsi="Times New Roman" w:eastAsia="宋体" w:cs="Times New Roman"/>
                <w:b w:val="0"/>
                <w:bCs w:val="0"/>
                <w:color w:val="auto"/>
                <w:sz w:val="18"/>
                <w:szCs w:val="18"/>
                <w:lang w:val="en-US" w:eastAsia="zh-CN"/>
              </w:rPr>
              <w:t>14</w:t>
            </w:r>
            <w:r>
              <w:rPr>
                <w:rFonts w:hint="default" w:ascii="Times New Roman" w:hAnsi="Times New Roman" w:eastAsia="宋体" w:cs="Times New Roman"/>
                <w:b w:val="0"/>
                <w:bCs w:val="0"/>
                <w:color w:val="auto"/>
                <w:sz w:val="18"/>
                <w:szCs w:val="18"/>
                <w:lang w:eastAsia="zh-CN"/>
              </w:rPr>
              <w:t>）</w:t>
            </w:r>
          </w:p>
        </w:tc>
        <w:tc>
          <w:tcPr>
            <w:tcW w:w="659" w:type="pct"/>
            <w:vAlign w:val="center"/>
          </w:tcPr>
          <w:p w14:paraId="6C0C2589">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26-11-11</w:t>
            </w:r>
          </w:p>
        </w:tc>
        <w:tc>
          <w:tcPr>
            <w:tcW w:w="764" w:type="pct"/>
            <w:vAlign w:val="center"/>
          </w:tcPr>
          <w:p w14:paraId="301BA16A">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27.20 </w:t>
            </w:r>
          </w:p>
        </w:tc>
        <w:tc>
          <w:tcPr>
            <w:tcW w:w="699" w:type="pct"/>
            <w:vAlign w:val="center"/>
          </w:tcPr>
          <w:p w14:paraId="12DEA7F3">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23.78 </w:t>
            </w:r>
          </w:p>
        </w:tc>
        <w:tc>
          <w:tcPr>
            <w:tcW w:w="672" w:type="pct"/>
            <w:vAlign w:val="center"/>
          </w:tcPr>
          <w:p w14:paraId="17C49CBA">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25.09 </w:t>
            </w:r>
          </w:p>
        </w:tc>
        <w:tc>
          <w:tcPr>
            <w:tcW w:w="723" w:type="pct"/>
            <w:vAlign w:val="center"/>
          </w:tcPr>
          <w:p w14:paraId="05F26032">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0.38 </w:t>
            </w:r>
          </w:p>
        </w:tc>
        <w:tc>
          <w:tcPr>
            <w:tcW w:w="896" w:type="pct"/>
            <w:shd w:val="clear" w:color="auto" w:fill="auto"/>
            <w:vAlign w:val="bottom"/>
          </w:tcPr>
          <w:p w14:paraId="20E23C7A">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0.296 </w:t>
            </w:r>
          </w:p>
        </w:tc>
      </w:tr>
      <w:tr w14:paraId="3B382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tcPr>
          <w:p w14:paraId="720B9B70">
            <w:pPr>
              <w:keepLines w:val="0"/>
              <w:pageBreakBefore w:val="0"/>
              <w:wordWrap/>
              <w:overflowPunct/>
              <w:topLinePunct w:val="0"/>
              <w:bidi w:val="0"/>
              <w:spacing w:line="240" w:lineRule="auto"/>
              <w:rPr>
                <w:rFonts w:hint="default" w:ascii="Times New Roman" w:hAnsi="Times New Roman" w:eastAsia="宋体" w:cs="Times New Roman"/>
                <w:b w:val="0"/>
                <w:bCs w:val="0"/>
                <w:color w:val="auto"/>
                <w:sz w:val="18"/>
                <w:szCs w:val="18"/>
                <w:lang w:eastAsia="zh-CN"/>
              </w:rPr>
            </w:pPr>
            <w:r>
              <w:rPr>
                <w:rFonts w:hint="default" w:ascii="Times New Roman" w:hAnsi="Times New Roman" w:eastAsia="宋体" w:cs="Times New Roman"/>
                <w:b w:val="0"/>
                <w:bCs w:val="0"/>
                <w:color w:val="auto"/>
                <w:sz w:val="18"/>
                <w:szCs w:val="18"/>
                <w:lang w:eastAsia="zh-CN"/>
              </w:rPr>
              <w:t>（</w:t>
            </w:r>
            <w:r>
              <w:rPr>
                <w:rFonts w:hint="default" w:ascii="Times New Roman" w:hAnsi="Times New Roman" w:eastAsia="宋体" w:cs="Times New Roman"/>
                <w:b w:val="0"/>
                <w:bCs w:val="0"/>
                <w:color w:val="auto"/>
                <w:sz w:val="18"/>
                <w:szCs w:val="18"/>
                <w:lang w:val="en-US" w:eastAsia="zh-CN"/>
              </w:rPr>
              <w:t>15</w:t>
            </w:r>
            <w:r>
              <w:rPr>
                <w:rFonts w:hint="default" w:ascii="Times New Roman" w:hAnsi="Times New Roman" w:eastAsia="宋体" w:cs="Times New Roman"/>
                <w:b w:val="0"/>
                <w:bCs w:val="0"/>
                <w:color w:val="auto"/>
                <w:sz w:val="18"/>
                <w:szCs w:val="18"/>
                <w:lang w:eastAsia="zh-CN"/>
              </w:rPr>
              <w:t>）</w:t>
            </w:r>
          </w:p>
        </w:tc>
        <w:tc>
          <w:tcPr>
            <w:tcW w:w="659" w:type="pct"/>
            <w:vAlign w:val="center"/>
          </w:tcPr>
          <w:p w14:paraId="2457FD65">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26-11-11</w:t>
            </w:r>
          </w:p>
        </w:tc>
        <w:tc>
          <w:tcPr>
            <w:tcW w:w="764" w:type="pct"/>
            <w:vAlign w:val="center"/>
          </w:tcPr>
          <w:p w14:paraId="20D67F1E">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27.56 </w:t>
            </w:r>
          </w:p>
        </w:tc>
        <w:tc>
          <w:tcPr>
            <w:tcW w:w="699" w:type="pct"/>
            <w:vAlign w:val="center"/>
          </w:tcPr>
          <w:p w14:paraId="1C8F28F9">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24.37 </w:t>
            </w:r>
          </w:p>
        </w:tc>
        <w:tc>
          <w:tcPr>
            <w:tcW w:w="672" w:type="pct"/>
            <w:vAlign w:val="center"/>
          </w:tcPr>
          <w:p w14:paraId="7AAC2283">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24.99 </w:t>
            </w:r>
          </w:p>
        </w:tc>
        <w:tc>
          <w:tcPr>
            <w:tcW w:w="723" w:type="pct"/>
            <w:vAlign w:val="center"/>
          </w:tcPr>
          <w:p w14:paraId="06753890">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0.43 </w:t>
            </w:r>
          </w:p>
        </w:tc>
        <w:tc>
          <w:tcPr>
            <w:tcW w:w="896" w:type="pct"/>
            <w:shd w:val="clear" w:color="auto" w:fill="auto"/>
            <w:vAlign w:val="bottom"/>
          </w:tcPr>
          <w:p w14:paraId="4E7F1B11">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0.197 </w:t>
            </w:r>
          </w:p>
        </w:tc>
      </w:tr>
      <w:tr w14:paraId="2CA81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4F3FCAF9">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1</w:t>
            </w:r>
            <w:r>
              <w:rPr>
                <w:rFonts w:hint="default" w:ascii="Times New Roman" w:hAnsi="Times New Roman" w:eastAsia="宋体" w:cs="Times New Roman"/>
                <w:b w:val="0"/>
                <w:bCs w:val="0"/>
                <w:color w:val="auto"/>
                <w:sz w:val="18"/>
                <w:szCs w:val="18"/>
              </w:rPr>
              <w:t>6）</w:t>
            </w:r>
          </w:p>
        </w:tc>
        <w:tc>
          <w:tcPr>
            <w:tcW w:w="659" w:type="pct"/>
            <w:vAlign w:val="center"/>
          </w:tcPr>
          <w:p w14:paraId="7B6A3A5B">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26-11-11</w:t>
            </w:r>
          </w:p>
        </w:tc>
        <w:tc>
          <w:tcPr>
            <w:tcW w:w="764" w:type="pct"/>
            <w:vAlign w:val="center"/>
          </w:tcPr>
          <w:p w14:paraId="24FFCE40">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26.78 </w:t>
            </w:r>
          </w:p>
        </w:tc>
        <w:tc>
          <w:tcPr>
            <w:tcW w:w="699" w:type="pct"/>
            <w:vAlign w:val="center"/>
          </w:tcPr>
          <w:p w14:paraId="65AEE5CA">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24.27 </w:t>
            </w:r>
          </w:p>
        </w:tc>
        <w:tc>
          <w:tcPr>
            <w:tcW w:w="672" w:type="pct"/>
            <w:vAlign w:val="center"/>
          </w:tcPr>
          <w:p w14:paraId="4BF46602">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22.52 </w:t>
            </w:r>
          </w:p>
        </w:tc>
        <w:tc>
          <w:tcPr>
            <w:tcW w:w="723" w:type="pct"/>
            <w:vAlign w:val="center"/>
          </w:tcPr>
          <w:p w14:paraId="34529F94">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0.35 </w:t>
            </w:r>
          </w:p>
        </w:tc>
        <w:tc>
          <w:tcPr>
            <w:tcW w:w="896" w:type="pct"/>
            <w:shd w:val="clear" w:color="auto" w:fill="auto"/>
            <w:vAlign w:val="bottom"/>
          </w:tcPr>
          <w:p w14:paraId="6A897641">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0.199 </w:t>
            </w:r>
          </w:p>
        </w:tc>
      </w:tr>
      <w:tr w14:paraId="6CE81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0BD43522">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1</w:t>
            </w:r>
            <w:r>
              <w:rPr>
                <w:rFonts w:hint="default" w:ascii="Times New Roman" w:hAnsi="Times New Roman" w:eastAsia="宋体" w:cs="Times New Roman"/>
                <w:b w:val="0"/>
                <w:bCs w:val="0"/>
                <w:color w:val="auto"/>
                <w:sz w:val="18"/>
                <w:szCs w:val="18"/>
              </w:rPr>
              <w:t>7）</w:t>
            </w:r>
          </w:p>
        </w:tc>
        <w:tc>
          <w:tcPr>
            <w:tcW w:w="659" w:type="pct"/>
            <w:vAlign w:val="center"/>
          </w:tcPr>
          <w:p w14:paraId="095BA8FD">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26-11-12</w:t>
            </w:r>
          </w:p>
        </w:tc>
        <w:tc>
          <w:tcPr>
            <w:tcW w:w="764" w:type="pct"/>
            <w:vAlign w:val="center"/>
          </w:tcPr>
          <w:p w14:paraId="05F144BC">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32.12 </w:t>
            </w:r>
          </w:p>
        </w:tc>
        <w:tc>
          <w:tcPr>
            <w:tcW w:w="699" w:type="pct"/>
            <w:vAlign w:val="center"/>
          </w:tcPr>
          <w:p w14:paraId="05BA6103">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25.60 </w:t>
            </w:r>
          </w:p>
        </w:tc>
        <w:tc>
          <w:tcPr>
            <w:tcW w:w="672" w:type="pct"/>
            <w:vAlign w:val="center"/>
          </w:tcPr>
          <w:p w14:paraId="28A45A3C">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29.87 </w:t>
            </w:r>
          </w:p>
        </w:tc>
        <w:tc>
          <w:tcPr>
            <w:tcW w:w="723" w:type="pct"/>
            <w:vAlign w:val="center"/>
          </w:tcPr>
          <w:p w14:paraId="2D260646">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0.21 </w:t>
            </w:r>
          </w:p>
        </w:tc>
        <w:tc>
          <w:tcPr>
            <w:tcW w:w="896" w:type="pct"/>
            <w:shd w:val="clear" w:color="auto" w:fill="auto"/>
            <w:vAlign w:val="bottom"/>
          </w:tcPr>
          <w:p w14:paraId="5156226D">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0.195 </w:t>
            </w:r>
          </w:p>
        </w:tc>
      </w:tr>
      <w:tr w14:paraId="72ADD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0664E85F">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1</w:t>
            </w:r>
            <w:r>
              <w:rPr>
                <w:rFonts w:hint="default" w:ascii="Times New Roman" w:hAnsi="Times New Roman" w:eastAsia="宋体" w:cs="Times New Roman"/>
                <w:b w:val="0"/>
                <w:bCs w:val="0"/>
                <w:color w:val="auto"/>
                <w:sz w:val="18"/>
                <w:szCs w:val="18"/>
              </w:rPr>
              <w:t>8）</w:t>
            </w:r>
          </w:p>
        </w:tc>
        <w:tc>
          <w:tcPr>
            <w:tcW w:w="659" w:type="pct"/>
            <w:vAlign w:val="center"/>
          </w:tcPr>
          <w:p w14:paraId="73FA66CF">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26-11-12</w:t>
            </w:r>
          </w:p>
        </w:tc>
        <w:tc>
          <w:tcPr>
            <w:tcW w:w="764" w:type="pct"/>
            <w:vAlign w:val="center"/>
          </w:tcPr>
          <w:p w14:paraId="3FBB72C4">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26.85 </w:t>
            </w:r>
          </w:p>
        </w:tc>
        <w:tc>
          <w:tcPr>
            <w:tcW w:w="699" w:type="pct"/>
            <w:vAlign w:val="center"/>
          </w:tcPr>
          <w:p w14:paraId="30519351">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21.68 </w:t>
            </w:r>
          </w:p>
        </w:tc>
        <w:tc>
          <w:tcPr>
            <w:tcW w:w="672" w:type="pct"/>
            <w:vAlign w:val="center"/>
          </w:tcPr>
          <w:p w14:paraId="09FC911D">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24.13 </w:t>
            </w:r>
          </w:p>
        </w:tc>
        <w:tc>
          <w:tcPr>
            <w:tcW w:w="723" w:type="pct"/>
            <w:vAlign w:val="center"/>
          </w:tcPr>
          <w:p w14:paraId="17D896DA">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0.25 </w:t>
            </w:r>
          </w:p>
        </w:tc>
        <w:tc>
          <w:tcPr>
            <w:tcW w:w="896" w:type="pct"/>
            <w:shd w:val="clear" w:color="auto" w:fill="auto"/>
            <w:vAlign w:val="bottom"/>
          </w:tcPr>
          <w:p w14:paraId="70FF8E20">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0.189 </w:t>
            </w:r>
          </w:p>
        </w:tc>
      </w:tr>
      <w:tr w14:paraId="6B434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036F0BFB">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19</w:t>
            </w:r>
            <w:r>
              <w:rPr>
                <w:rFonts w:hint="default" w:ascii="Times New Roman" w:hAnsi="Times New Roman" w:eastAsia="宋体" w:cs="Times New Roman"/>
                <w:b w:val="0"/>
                <w:bCs w:val="0"/>
                <w:color w:val="auto"/>
                <w:sz w:val="18"/>
                <w:szCs w:val="18"/>
              </w:rPr>
              <w:t>）</w:t>
            </w:r>
          </w:p>
        </w:tc>
        <w:tc>
          <w:tcPr>
            <w:tcW w:w="659" w:type="pct"/>
            <w:vAlign w:val="center"/>
          </w:tcPr>
          <w:p w14:paraId="6652B7B0">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15-15-15</w:t>
            </w:r>
          </w:p>
        </w:tc>
        <w:tc>
          <w:tcPr>
            <w:tcW w:w="764" w:type="pct"/>
            <w:vAlign w:val="center"/>
          </w:tcPr>
          <w:p w14:paraId="331F1E30">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15.70 </w:t>
            </w:r>
          </w:p>
        </w:tc>
        <w:tc>
          <w:tcPr>
            <w:tcW w:w="699" w:type="pct"/>
            <w:vAlign w:val="center"/>
          </w:tcPr>
          <w:p w14:paraId="62538CA6">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13.28 </w:t>
            </w:r>
          </w:p>
        </w:tc>
        <w:tc>
          <w:tcPr>
            <w:tcW w:w="672" w:type="pct"/>
            <w:vAlign w:val="center"/>
          </w:tcPr>
          <w:p w14:paraId="2AFAF9D2">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12.82 </w:t>
            </w:r>
          </w:p>
        </w:tc>
        <w:tc>
          <w:tcPr>
            <w:tcW w:w="723" w:type="pct"/>
            <w:vAlign w:val="center"/>
          </w:tcPr>
          <w:p w14:paraId="6964723F">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0.00 </w:t>
            </w:r>
          </w:p>
        </w:tc>
        <w:tc>
          <w:tcPr>
            <w:tcW w:w="896" w:type="pct"/>
            <w:shd w:val="clear" w:color="auto" w:fill="auto"/>
            <w:vAlign w:val="bottom"/>
          </w:tcPr>
          <w:p w14:paraId="42302736">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0.109 </w:t>
            </w:r>
          </w:p>
        </w:tc>
      </w:tr>
      <w:tr w14:paraId="75F61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62007654">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20</w:t>
            </w:r>
            <w:r>
              <w:rPr>
                <w:rFonts w:hint="default" w:ascii="Times New Roman" w:hAnsi="Times New Roman" w:eastAsia="宋体" w:cs="Times New Roman"/>
                <w:b w:val="0"/>
                <w:bCs w:val="0"/>
                <w:color w:val="auto"/>
                <w:sz w:val="18"/>
                <w:szCs w:val="18"/>
              </w:rPr>
              <w:t>）</w:t>
            </w:r>
          </w:p>
        </w:tc>
        <w:tc>
          <w:tcPr>
            <w:tcW w:w="659" w:type="pct"/>
            <w:vAlign w:val="center"/>
          </w:tcPr>
          <w:p w14:paraId="5E5B08AD">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15-15-15</w:t>
            </w:r>
          </w:p>
        </w:tc>
        <w:tc>
          <w:tcPr>
            <w:tcW w:w="764" w:type="pct"/>
            <w:vAlign w:val="center"/>
          </w:tcPr>
          <w:p w14:paraId="73C83396">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15.94 </w:t>
            </w:r>
          </w:p>
        </w:tc>
        <w:tc>
          <w:tcPr>
            <w:tcW w:w="699" w:type="pct"/>
            <w:vAlign w:val="center"/>
          </w:tcPr>
          <w:p w14:paraId="5BDEB5B6">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12.15 </w:t>
            </w:r>
          </w:p>
        </w:tc>
        <w:tc>
          <w:tcPr>
            <w:tcW w:w="672" w:type="pct"/>
            <w:vAlign w:val="center"/>
          </w:tcPr>
          <w:p w14:paraId="55797599">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12.11 </w:t>
            </w:r>
          </w:p>
        </w:tc>
        <w:tc>
          <w:tcPr>
            <w:tcW w:w="723" w:type="pct"/>
            <w:vAlign w:val="center"/>
          </w:tcPr>
          <w:p w14:paraId="623578E8">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3.34 </w:t>
            </w:r>
          </w:p>
        </w:tc>
        <w:tc>
          <w:tcPr>
            <w:tcW w:w="896" w:type="pct"/>
            <w:shd w:val="clear" w:color="auto" w:fill="auto"/>
            <w:vAlign w:val="bottom"/>
          </w:tcPr>
          <w:p w14:paraId="6ADDB41D">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0.114 </w:t>
            </w:r>
          </w:p>
        </w:tc>
      </w:tr>
      <w:tr w14:paraId="61985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03869F3C">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21</w:t>
            </w:r>
            <w:r>
              <w:rPr>
                <w:rFonts w:hint="default" w:ascii="Times New Roman" w:hAnsi="Times New Roman" w:eastAsia="宋体" w:cs="Times New Roman"/>
                <w:b w:val="0"/>
                <w:bCs w:val="0"/>
                <w:color w:val="auto"/>
                <w:sz w:val="18"/>
                <w:szCs w:val="18"/>
              </w:rPr>
              <w:t>）</w:t>
            </w:r>
          </w:p>
        </w:tc>
        <w:tc>
          <w:tcPr>
            <w:tcW w:w="659" w:type="pct"/>
            <w:vAlign w:val="center"/>
          </w:tcPr>
          <w:p w14:paraId="77F2CE16">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26-11-11</w:t>
            </w:r>
          </w:p>
        </w:tc>
        <w:tc>
          <w:tcPr>
            <w:tcW w:w="764" w:type="pct"/>
            <w:vAlign w:val="center"/>
          </w:tcPr>
          <w:p w14:paraId="6DAEF8C1">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24.63 </w:t>
            </w:r>
          </w:p>
        </w:tc>
        <w:tc>
          <w:tcPr>
            <w:tcW w:w="699" w:type="pct"/>
            <w:vAlign w:val="center"/>
          </w:tcPr>
          <w:p w14:paraId="09293103">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19.25 </w:t>
            </w:r>
          </w:p>
        </w:tc>
        <w:tc>
          <w:tcPr>
            <w:tcW w:w="672" w:type="pct"/>
            <w:vAlign w:val="center"/>
          </w:tcPr>
          <w:p w14:paraId="17DF1122">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19.15 </w:t>
            </w:r>
          </w:p>
        </w:tc>
        <w:tc>
          <w:tcPr>
            <w:tcW w:w="723" w:type="pct"/>
            <w:vAlign w:val="center"/>
          </w:tcPr>
          <w:p w14:paraId="59DFD1D4">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0.23 </w:t>
            </w:r>
          </w:p>
        </w:tc>
        <w:tc>
          <w:tcPr>
            <w:tcW w:w="896" w:type="pct"/>
            <w:shd w:val="clear" w:color="auto" w:fill="auto"/>
            <w:vAlign w:val="bottom"/>
          </w:tcPr>
          <w:p w14:paraId="7975CD26">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0.154 </w:t>
            </w:r>
          </w:p>
        </w:tc>
      </w:tr>
      <w:tr w14:paraId="4CB59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77596778">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22</w:t>
            </w:r>
            <w:r>
              <w:rPr>
                <w:rFonts w:hint="default" w:ascii="Times New Roman" w:hAnsi="Times New Roman" w:eastAsia="宋体" w:cs="Times New Roman"/>
                <w:b w:val="0"/>
                <w:bCs w:val="0"/>
                <w:color w:val="auto"/>
                <w:sz w:val="18"/>
                <w:szCs w:val="18"/>
              </w:rPr>
              <w:t>）</w:t>
            </w:r>
          </w:p>
        </w:tc>
        <w:tc>
          <w:tcPr>
            <w:tcW w:w="659" w:type="pct"/>
            <w:vAlign w:val="center"/>
          </w:tcPr>
          <w:p w14:paraId="235202FE">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16-16-16</w:t>
            </w:r>
          </w:p>
        </w:tc>
        <w:tc>
          <w:tcPr>
            <w:tcW w:w="764" w:type="pct"/>
            <w:vAlign w:val="center"/>
          </w:tcPr>
          <w:p w14:paraId="0C812569">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16.43 </w:t>
            </w:r>
          </w:p>
        </w:tc>
        <w:tc>
          <w:tcPr>
            <w:tcW w:w="699" w:type="pct"/>
            <w:vAlign w:val="center"/>
          </w:tcPr>
          <w:p w14:paraId="657DF635">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10.09 </w:t>
            </w:r>
          </w:p>
        </w:tc>
        <w:tc>
          <w:tcPr>
            <w:tcW w:w="672" w:type="pct"/>
            <w:vAlign w:val="center"/>
          </w:tcPr>
          <w:p w14:paraId="6ACB86C2">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9.84 </w:t>
            </w:r>
          </w:p>
        </w:tc>
        <w:tc>
          <w:tcPr>
            <w:tcW w:w="723" w:type="pct"/>
            <w:vAlign w:val="center"/>
          </w:tcPr>
          <w:p w14:paraId="2DC1B1DC">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0.20 </w:t>
            </w:r>
          </w:p>
        </w:tc>
        <w:tc>
          <w:tcPr>
            <w:tcW w:w="896" w:type="pct"/>
            <w:shd w:val="clear" w:color="auto" w:fill="auto"/>
            <w:vAlign w:val="bottom"/>
          </w:tcPr>
          <w:p w14:paraId="3C2B63A2">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0.081 </w:t>
            </w:r>
          </w:p>
        </w:tc>
      </w:tr>
      <w:tr w14:paraId="63B31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6143DF71">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2</w:t>
            </w:r>
            <w:r>
              <w:rPr>
                <w:rFonts w:hint="default" w:ascii="Times New Roman" w:hAnsi="Times New Roman" w:eastAsia="宋体" w:cs="Times New Roman"/>
                <w:b w:val="0"/>
                <w:bCs w:val="0"/>
                <w:color w:val="auto"/>
                <w:sz w:val="18"/>
                <w:szCs w:val="18"/>
              </w:rPr>
              <w:t>3）</w:t>
            </w:r>
          </w:p>
        </w:tc>
        <w:tc>
          <w:tcPr>
            <w:tcW w:w="659" w:type="pct"/>
            <w:vAlign w:val="center"/>
          </w:tcPr>
          <w:p w14:paraId="637F62D5">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14-8-23</w:t>
            </w:r>
          </w:p>
        </w:tc>
        <w:tc>
          <w:tcPr>
            <w:tcW w:w="764" w:type="pct"/>
            <w:vAlign w:val="center"/>
          </w:tcPr>
          <w:p w14:paraId="54528A68">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15.73 </w:t>
            </w:r>
          </w:p>
        </w:tc>
        <w:tc>
          <w:tcPr>
            <w:tcW w:w="699" w:type="pct"/>
            <w:vAlign w:val="center"/>
          </w:tcPr>
          <w:p w14:paraId="500C717B">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9.67 </w:t>
            </w:r>
          </w:p>
        </w:tc>
        <w:tc>
          <w:tcPr>
            <w:tcW w:w="672" w:type="pct"/>
            <w:vAlign w:val="center"/>
          </w:tcPr>
          <w:p w14:paraId="17699336">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9.41 </w:t>
            </w:r>
          </w:p>
        </w:tc>
        <w:tc>
          <w:tcPr>
            <w:tcW w:w="723" w:type="pct"/>
            <w:vAlign w:val="center"/>
          </w:tcPr>
          <w:p w14:paraId="1FE4F5A8">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0.62 </w:t>
            </w:r>
          </w:p>
        </w:tc>
        <w:tc>
          <w:tcPr>
            <w:tcW w:w="896" w:type="pct"/>
            <w:shd w:val="clear" w:color="auto" w:fill="auto"/>
            <w:vAlign w:val="bottom"/>
          </w:tcPr>
          <w:p w14:paraId="73D5C1DF">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0.088 </w:t>
            </w:r>
          </w:p>
        </w:tc>
      </w:tr>
      <w:tr w14:paraId="39981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50A1F00F">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24</w:t>
            </w:r>
            <w:r>
              <w:rPr>
                <w:rFonts w:hint="default" w:ascii="Times New Roman" w:hAnsi="Times New Roman" w:eastAsia="宋体" w:cs="Times New Roman"/>
                <w:b w:val="0"/>
                <w:bCs w:val="0"/>
                <w:color w:val="auto"/>
                <w:sz w:val="18"/>
                <w:szCs w:val="18"/>
              </w:rPr>
              <w:t>）</w:t>
            </w:r>
          </w:p>
        </w:tc>
        <w:tc>
          <w:tcPr>
            <w:tcW w:w="659" w:type="pct"/>
            <w:vAlign w:val="center"/>
          </w:tcPr>
          <w:p w14:paraId="7150BE74">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15-15-23</w:t>
            </w:r>
          </w:p>
        </w:tc>
        <w:tc>
          <w:tcPr>
            <w:tcW w:w="764" w:type="pct"/>
            <w:vAlign w:val="center"/>
          </w:tcPr>
          <w:p w14:paraId="0FA00BEC">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17.37 </w:t>
            </w:r>
          </w:p>
        </w:tc>
        <w:tc>
          <w:tcPr>
            <w:tcW w:w="699" w:type="pct"/>
            <w:vAlign w:val="center"/>
          </w:tcPr>
          <w:p w14:paraId="54112B0E">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15.25 </w:t>
            </w:r>
          </w:p>
        </w:tc>
        <w:tc>
          <w:tcPr>
            <w:tcW w:w="672" w:type="pct"/>
            <w:vAlign w:val="center"/>
          </w:tcPr>
          <w:p w14:paraId="6597B7B2">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15.53 </w:t>
            </w:r>
          </w:p>
        </w:tc>
        <w:tc>
          <w:tcPr>
            <w:tcW w:w="723" w:type="pct"/>
            <w:vAlign w:val="center"/>
          </w:tcPr>
          <w:p w14:paraId="0C9DB45D">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0.00 </w:t>
            </w:r>
          </w:p>
        </w:tc>
        <w:tc>
          <w:tcPr>
            <w:tcW w:w="896" w:type="pct"/>
            <w:shd w:val="clear" w:color="auto" w:fill="auto"/>
            <w:vAlign w:val="bottom"/>
          </w:tcPr>
          <w:p w14:paraId="1E01C563">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0.242 </w:t>
            </w:r>
          </w:p>
        </w:tc>
      </w:tr>
      <w:tr w14:paraId="326A1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367D5768">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2</w:t>
            </w:r>
            <w:r>
              <w:rPr>
                <w:rFonts w:hint="default" w:ascii="Times New Roman" w:hAnsi="Times New Roman" w:eastAsia="宋体" w:cs="Times New Roman"/>
                <w:b w:val="0"/>
                <w:bCs w:val="0"/>
                <w:color w:val="auto"/>
                <w:sz w:val="18"/>
                <w:szCs w:val="18"/>
              </w:rPr>
              <w:t>5）</w:t>
            </w:r>
          </w:p>
        </w:tc>
        <w:tc>
          <w:tcPr>
            <w:tcW w:w="659" w:type="pct"/>
            <w:vAlign w:val="center"/>
          </w:tcPr>
          <w:p w14:paraId="198C682C">
            <w:pPr>
              <w:keepLines w:val="0"/>
              <w:pageBreakBefore w:val="0"/>
              <w:wordWrap/>
              <w:overflowPunct/>
              <w:topLinePunct w:val="0"/>
              <w:bidi w:val="0"/>
              <w:spacing w:line="240" w:lineRule="auto"/>
              <w:jc w:val="left"/>
              <w:rPr>
                <w:rFonts w:hint="default" w:ascii="Times New Roman" w:hAnsi="Times New Roman" w:eastAsia="宋体" w:cs="Times New Roman"/>
                <w:b w:val="0"/>
                <w:bCs w:val="0"/>
                <w:color w:val="auto"/>
                <w:sz w:val="18"/>
                <w:szCs w:val="18"/>
              </w:rPr>
            </w:pPr>
          </w:p>
        </w:tc>
        <w:tc>
          <w:tcPr>
            <w:tcW w:w="764" w:type="pct"/>
            <w:vAlign w:val="center"/>
          </w:tcPr>
          <w:p w14:paraId="0A7D14B1">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6.29 </w:t>
            </w:r>
          </w:p>
        </w:tc>
        <w:tc>
          <w:tcPr>
            <w:tcW w:w="699" w:type="pct"/>
            <w:vAlign w:val="center"/>
          </w:tcPr>
          <w:p w14:paraId="762CC591">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0.09 </w:t>
            </w:r>
          </w:p>
        </w:tc>
        <w:tc>
          <w:tcPr>
            <w:tcW w:w="672" w:type="pct"/>
            <w:vAlign w:val="center"/>
          </w:tcPr>
          <w:p w14:paraId="2347FCB0">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0.48 </w:t>
            </w:r>
          </w:p>
        </w:tc>
        <w:tc>
          <w:tcPr>
            <w:tcW w:w="723" w:type="pct"/>
            <w:vAlign w:val="center"/>
          </w:tcPr>
          <w:p w14:paraId="12CCE671">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bCs/>
                <w:i w:val="0"/>
                <w:iCs w:val="0"/>
                <w:color w:val="0000FF"/>
                <w:kern w:val="0"/>
                <w:sz w:val="18"/>
                <w:szCs w:val="18"/>
                <w:u w:val="none"/>
                <w:lang w:val="en-US" w:eastAsia="zh-CN" w:bidi="ar"/>
              </w:rPr>
              <w:t>32</w:t>
            </w:r>
            <w:r>
              <w:rPr>
                <w:rFonts w:hint="eastAsia" w:ascii="Times New Roman" w:hAnsi="Times New Roman" w:eastAsia="宋体" w:cs="Times New Roman"/>
                <w:b/>
                <w:bCs/>
                <w:i w:val="0"/>
                <w:iCs w:val="0"/>
                <w:color w:val="0000FF"/>
                <w:kern w:val="0"/>
                <w:sz w:val="18"/>
                <w:szCs w:val="18"/>
                <w:u w:val="none"/>
                <w:lang w:val="en-US" w:eastAsia="zh-CN" w:bidi="ar"/>
              </w:rPr>
              <w:t>.</w:t>
            </w:r>
            <w:r>
              <w:rPr>
                <w:rFonts w:hint="default" w:ascii="Times New Roman" w:hAnsi="Times New Roman" w:eastAsia="宋体" w:cs="Times New Roman"/>
                <w:b/>
                <w:bCs/>
                <w:i w:val="0"/>
                <w:iCs w:val="0"/>
                <w:color w:val="0000FF"/>
                <w:kern w:val="0"/>
                <w:sz w:val="18"/>
                <w:szCs w:val="18"/>
                <w:u w:val="none"/>
                <w:lang w:val="en-US" w:eastAsia="zh-CN" w:bidi="ar"/>
              </w:rPr>
              <w:t>95</w:t>
            </w:r>
            <w:r>
              <w:rPr>
                <w:rFonts w:hint="default" w:ascii="Times New Roman" w:hAnsi="Times New Roman" w:eastAsia="宋体" w:cs="Times New Roman"/>
                <w:b/>
                <w:bCs/>
                <w:i w:val="0"/>
                <w:iCs w:val="0"/>
                <w:color w:val="auto"/>
                <w:kern w:val="0"/>
                <w:sz w:val="18"/>
                <w:szCs w:val="18"/>
                <w:u w:val="none"/>
                <w:lang w:val="en-US" w:eastAsia="zh-CN" w:bidi="ar"/>
              </w:rPr>
              <w:t xml:space="preserve"> </w:t>
            </w:r>
          </w:p>
        </w:tc>
        <w:tc>
          <w:tcPr>
            <w:tcW w:w="896" w:type="pct"/>
            <w:shd w:val="clear" w:color="auto" w:fill="auto"/>
            <w:vAlign w:val="bottom"/>
          </w:tcPr>
          <w:p w14:paraId="6F25F1E9">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0.081 </w:t>
            </w:r>
          </w:p>
        </w:tc>
      </w:tr>
      <w:tr w14:paraId="41116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703B8AB9">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2</w:t>
            </w:r>
            <w:r>
              <w:rPr>
                <w:rFonts w:hint="default" w:ascii="Times New Roman" w:hAnsi="Times New Roman" w:eastAsia="宋体" w:cs="Times New Roman"/>
                <w:b w:val="0"/>
                <w:bCs w:val="0"/>
                <w:color w:val="auto"/>
                <w:sz w:val="18"/>
                <w:szCs w:val="18"/>
              </w:rPr>
              <w:t>6）</w:t>
            </w:r>
          </w:p>
        </w:tc>
        <w:tc>
          <w:tcPr>
            <w:tcW w:w="659" w:type="pct"/>
            <w:vAlign w:val="center"/>
          </w:tcPr>
          <w:p w14:paraId="46214768">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复合肥</w:t>
            </w:r>
          </w:p>
        </w:tc>
        <w:tc>
          <w:tcPr>
            <w:tcW w:w="764" w:type="pct"/>
            <w:vAlign w:val="center"/>
          </w:tcPr>
          <w:p w14:paraId="0CB6919D">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19.09 </w:t>
            </w:r>
          </w:p>
        </w:tc>
        <w:tc>
          <w:tcPr>
            <w:tcW w:w="699" w:type="pct"/>
            <w:vAlign w:val="center"/>
          </w:tcPr>
          <w:p w14:paraId="4DEED95F">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15.94 </w:t>
            </w:r>
          </w:p>
        </w:tc>
        <w:tc>
          <w:tcPr>
            <w:tcW w:w="672" w:type="pct"/>
            <w:vAlign w:val="center"/>
          </w:tcPr>
          <w:p w14:paraId="15C87B23">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17.22 </w:t>
            </w:r>
          </w:p>
        </w:tc>
        <w:tc>
          <w:tcPr>
            <w:tcW w:w="723" w:type="pct"/>
            <w:vAlign w:val="center"/>
          </w:tcPr>
          <w:p w14:paraId="6D85EF41">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0.00 </w:t>
            </w:r>
          </w:p>
        </w:tc>
        <w:tc>
          <w:tcPr>
            <w:tcW w:w="896" w:type="pct"/>
            <w:shd w:val="clear" w:color="auto" w:fill="auto"/>
            <w:vAlign w:val="bottom"/>
          </w:tcPr>
          <w:p w14:paraId="4712B241">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0.336 </w:t>
            </w:r>
          </w:p>
        </w:tc>
      </w:tr>
      <w:tr w14:paraId="6E1D7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594FD85B">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2</w:t>
            </w:r>
            <w:r>
              <w:rPr>
                <w:rFonts w:hint="default" w:ascii="Times New Roman" w:hAnsi="Times New Roman" w:eastAsia="宋体" w:cs="Times New Roman"/>
                <w:b w:val="0"/>
                <w:bCs w:val="0"/>
                <w:color w:val="auto"/>
                <w:sz w:val="18"/>
                <w:szCs w:val="18"/>
              </w:rPr>
              <w:t>7）</w:t>
            </w:r>
          </w:p>
        </w:tc>
        <w:tc>
          <w:tcPr>
            <w:tcW w:w="659" w:type="pct"/>
            <w:vAlign w:val="center"/>
          </w:tcPr>
          <w:p w14:paraId="4CC410B4">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13-6-29 </w:t>
            </w:r>
          </w:p>
        </w:tc>
        <w:tc>
          <w:tcPr>
            <w:tcW w:w="764" w:type="pct"/>
            <w:vAlign w:val="center"/>
          </w:tcPr>
          <w:p w14:paraId="6EC1CF27">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5.45 </w:t>
            </w:r>
          </w:p>
        </w:tc>
        <w:tc>
          <w:tcPr>
            <w:tcW w:w="699" w:type="pct"/>
            <w:vAlign w:val="center"/>
          </w:tcPr>
          <w:p w14:paraId="13BDE7C2">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0.40 </w:t>
            </w:r>
          </w:p>
        </w:tc>
        <w:tc>
          <w:tcPr>
            <w:tcW w:w="672" w:type="pct"/>
            <w:vAlign w:val="center"/>
          </w:tcPr>
          <w:p w14:paraId="67E8AA2E">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0.72 </w:t>
            </w:r>
          </w:p>
        </w:tc>
        <w:tc>
          <w:tcPr>
            <w:tcW w:w="723" w:type="pct"/>
            <w:vAlign w:val="center"/>
          </w:tcPr>
          <w:p w14:paraId="52C5573A">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bCs/>
                <w:i w:val="0"/>
                <w:iCs w:val="0"/>
                <w:color w:val="0000FF"/>
                <w:kern w:val="0"/>
                <w:sz w:val="18"/>
                <w:szCs w:val="18"/>
                <w:u w:val="none"/>
                <w:lang w:val="en-US" w:eastAsia="zh-CN" w:bidi="ar"/>
              </w:rPr>
              <w:t>33</w:t>
            </w:r>
            <w:r>
              <w:rPr>
                <w:rFonts w:hint="eastAsia" w:ascii="Times New Roman" w:hAnsi="Times New Roman" w:eastAsia="宋体" w:cs="Times New Roman"/>
                <w:b/>
                <w:bCs/>
                <w:i w:val="0"/>
                <w:iCs w:val="0"/>
                <w:color w:val="0000FF"/>
                <w:kern w:val="0"/>
                <w:sz w:val="18"/>
                <w:szCs w:val="18"/>
                <w:u w:val="none"/>
                <w:lang w:val="en-US" w:eastAsia="zh-CN" w:bidi="ar"/>
              </w:rPr>
              <w:t>.</w:t>
            </w:r>
            <w:r>
              <w:rPr>
                <w:rFonts w:hint="default" w:ascii="Times New Roman" w:hAnsi="Times New Roman" w:eastAsia="宋体" w:cs="Times New Roman"/>
                <w:b/>
                <w:bCs/>
                <w:i w:val="0"/>
                <w:iCs w:val="0"/>
                <w:color w:val="0000FF"/>
                <w:kern w:val="0"/>
                <w:sz w:val="18"/>
                <w:szCs w:val="18"/>
                <w:u w:val="none"/>
                <w:lang w:val="en-US" w:eastAsia="zh-CN" w:bidi="ar"/>
              </w:rPr>
              <w:t>6</w:t>
            </w:r>
            <w:r>
              <w:rPr>
                <w:rFonts w:hint="eastAsia" w:ascii="Times New Roman" w:hAnsi="Times New Roman" w:eastAsia="宋体" w:cs="Times New Roman"/>
                <w:b/>
                <w:bCs/>
                <w:i w:val="0"/>
                <w:iCs w:val="0"/>
                <w:color w:val="0000FF"/>
                <w:kern w:val="0"/>
                <w:sz w:val="18"/>
                <w:szCs w:val="18"/>
                <w:u w:val="none"/>
                <w:lang w:val="en-US" w:eastAsia="zh-CN" w:bidi="ar"/>
              </w:rPr>
              <w:t>3</w:t>
            </w:r>
            <w:r>
              <w:rPr>
                <w:rFonts w:hint="default" w:ascii="Times New Roman" w:hAnsi="Times New Roman" w:eastAsia="宋体" w:cs="Times New Roman"/>
                <w:b/>
                <w:bCs/>
                <w:i w:val="0"/>
                <w:iCs w:val="0"/>
                <w:color w:val="auto"/>
                <w:kern w:val="0"/>
                <w:sz w:val="18"/>
                <w:szCs w:val="18"/>
                <w:u w:val="none"/>
                <w:lang w:val="en-US" w:eastAsia="zh-CN" w:bidi="ar"/>
              </w:rPr>
              <w:t xml:space="preserve"> </w:t>
            </w:r>
          </w:p>
        </w:tc>
        <w:tc>
          <w:tcPr>
            <w:tcW w:w="896" w:type="pct"/>
            <w:shd w:val="clear" w:color="auto" w:fill="auto"/>
            <w:vAlign w:val="bottom"/>
          </w:tcPr>
          <w:p w14:paraId="504272F7">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0.263 </w:t>
            </w:r>
          </w:p>
        </w:tc>
      </w:tr>
      <w:tr w14:paraId="13BA5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192523B7">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2</w:t>
            </w:r>
            <w:r>
              <w:rPr>
                <w:rFonts w:hint="default" w:ascii="Times New Roman" w:hAnsi="Times New Roman" w:eastAsia="宋体" w:cs="Times New Roman"/>
                <w:b w:val="0"/>
                <w:bCs w:val="0"/>
                <w:color w:val="auto"/>
                <w:sz w:val="18"/>
                <w:szCs w:val="18"/>
              </w:rPr>
              <w:t>8）</w:t>
            </w:r>
          </w:p>
        </w:tc>
        <w:tc>
          <w:tcPr>
            <w:tcW w:w="659" w:type="pct"/>
            <w:vAlign w:val="center"/>
          </w:tcPr>
          <w:p w14:paraId="609A72F8">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22-8-10</w:t>
            </w:r>
          </w:p>
        </w:tc>
        <w:tc>
          <w:tcPr>
            <w:tcW w:w="764" w:type="pct"/>
            <w:vAlign w:val="center"/>
          </w:tcPr>
          <w:p w14:paraId="66FA7CCD">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24.85 </w:t>
            </w:r>
          </w:p>
        </w:tc>
        <w:tc>
          <w:tcPr>
            <w:tcW w:w="699" w:type="pct"/>
            <w:vAlign w:val="center"/>
          </w:tcPr>
          <w:p w14:paraId="30F3FEE0">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13.97 </w:t>
            </w:r>
          </w:p>
        </w:tc>
        <w:tc>
          <w:tcPr>
            <w:tcW w:w="672" w:type="pct"/>
            <w:vAlign w:val="center"/>
          </w:tcPr>
          <w:p w14:paraId="66EBD7EA">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14.95 </w:t>
            </w:r>
          </w:p>
        </w:tc>
        <w:tc>
          <w:tcPr>
            <w:tcW w:w="723" w:type="pct"/>
            <w:vAlign w:val="center"/>
          </w:tcPr>
          <w:p w14:paraId="293121D3">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0.00 </w:t>
            </w:r>
          </w:p>
        </w:tc>
        <w:tc>
          <w:tcPr>
            <w:tcW w:w="896" w:type="pct"/>
            <w:shd w:val="clear" w:color="auto" w:fill="auto"/>
            <w:vAlign w:val="bottom"/>
          </w:tcPr>
          <w:p w14:paraId="2DA53EF3">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0.098 </w:t>
            </w:r>
          </w:p>
        </w:tc>
      </w:tr>
      <w:tr w14:paraId="1FB8C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13A08E44">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29</w:t>
            </w:r>
            <w:r>
              <w:rPr>
                <w:rFonts w:hint="default" w:ascii="Times New Roman" w:hAnsi="Times New Roman" w:eastAsia="宋体" w:cs="Times New Roman"/>
                <w:b w:val="0"/>
                <w:bCs w:val="0"/>
                <w:color w:val="auto"/>
                <w:sz w:val="18"/>
                <w:szCs w:val="18"/>
              </w:rPr>
              <w:t>）</w:t>
            </w:r>
          </w:p>
        </w:tc>
        <w:tc>
          <w:tcPr>
            <w:tcW w:w="659" w:type="pct"/>
            <w:vAlign w:val="center"/>
          </w:tcPr>
          <w:p w14:paraId="5E198AEB">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22-8-10</w:t>
            </w:r>
          </w:p>
        </w:tc>
        <w:tc>
          <w:tcPr>
            <w:tcW w:w="764" w:type="pct"/>
            <w:vAlign w:val="center"/>
          </w:tcPr>
          <w:p w14:paraId="09E56132">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23.26 </w:t>
            </w:r>
          </w:p>
        </w:tc>
        <w:tc>
          <w:tcPr>
            <w:tcW w:w="699" w:type="pct"/>
            <w:vAlign w:val="center"/>
          </w:tcPr>
          <w:p w14:paraId="067A98E1">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12.24 </w:t>
            </w:r>
          </w:p>
        </w:tc>
        <w:tc>
          <w:tcPr>
            <w:tcW w:w="672" w:type="pct"/>
            <w:vAlign w:val="center"/>
          </w:tcPr>
          <w:p w14:paraId="187C1E9B">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14.34 </w:t>
            </w:r>
          </w:p>
        </w:tc>
        <w:tc>
          <w:tcPr>
            <w:tcW w:w="723" w:type="pct"/>
            <w:vAlign w:val="center"/>
          </w:tcPr>
          <w:p w14:paraId="3FF3420F">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0.11 </w:t>
            </w:r>
          </w:p>
        </w:tc>
        <w:tc>
          <w:tcPr>
            <w:tcW w:w="896" w:type="pct"/>
            <w:shd w:val="clear" w:color="auto" w:fill="auto"/>
            <w:vAlign w:val="bottom"/>
          </w:tcPr>
          <w:p w14:paraId="4112ED1D">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0.117 </w:t>
            </w:r>
          </w:p>
        </w:tc>
      </w:tr>
      <w:tr w14:paraId="51038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32FDD402">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30</w:t>
            </w:r>
            <w:r>
              <w:rPr>
                <w:rFonts w:hint="default" w:ascii="Times New Roman" w:hAnsi="Times New Roman" w:eastAsia="宋体" w:cs="Times New Roman"/>
                <w:b w:val="0"/>
                <w:bCs w:val="0"/>
                <w:color w:val="auto"/>
                <w:sz w:val="18"/>
                <w:szCs w:val="18"/>
              </w:rPr>
              <w:t>）</w:t>
            </w:r>
          </w:p>
        </w:tc>
        <w:tc>
          <w:tcPr>
            <w:tcW w:w="659" w:type="pct"/>
            <w:vAlign w:val="center"/>
          </w:tcPr>
          <w:p w14:paraId="3285363B">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20-5-7</w:t>
            </w:r>
          </w:p>
        </w:tc>
        <w:tc>
          <w:tcPr>
            <w:tcW w:w="764" w:type="pct"/>
            <w:vAlign w:val="center"/>
          </w:tcPr>
          <w:p w14:paraId="46875354">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22.16 </w:t>
            </w:r>
          </w:p>
        </w:tc>
        <w:tc>
          <w:tcPr>
            <w:tcW w:w="699" w:type="pct"/>
            <w:vAlign w:val="center"/>
          </w:tcPr>
          <w:p w14:paraId="597F3A15">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8.55 </w:t>
            </w:r>
          </w:p>
        </w:tc>
        <w:tc>
          <w:tcPr>
            <w:tcW w:w="672" w:type="pct"/>
            <w:vAlign w:val="center"/>
          </w:tcPr>
          <w:p w14:paraId="6A9496F4">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8.95 </w:t>
            </w:r>
          </w:p>
        </w:tc>
        <w:tc>
          <w:tcPr>
            <w:tcW w:w="723" w:type="pct"/>
            <w:vAlign w:val="center"/>
          </w:tcPr>
          <w:p w14:paraId="2CDCA46D">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5.19 </w:t>
            </w:r>
          </w:p>
        </w:tc>
        <w:tc>
          <w:tcPr>
            <w:tcW w:w="896" w:type="pct"/>
            <w:shd w:val="clear" w:color="auto" w:fill="auto"/>
            <w:vAlign w:val="bottom"/>
          </w:tcPr>
          <w:p w14:paraId="04B4C472">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0.059 </w:t>
            </w:r>
          </w:p>
        </w:tc>
      </w:tr>
      <w:tr w14:paraId="38B14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49E5D724">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31</w:t>
            </w:r>
            <w:r>
              <w:rPr>
                <w:rFonts w:hint="default" w:ascii="Times New Roman" w:hAnsi="Times New Roman" w:eastAsia="宋体" w:cs="Times New Roman"/>
                <w:b w:val="0"/>
                <w:bCs w:val="0"/>
                <w:color w:val="auto"/>
                <w:sz w:val="18"/>
                <w:szCs w:val="18"/>
              </w:rPr>
              <w:t>）</w:t>
            </w:r>
          </w:p>
        </w:tc>
        <w:tc>
          <w:tcPr>
            <w:tcW w:w="659" w:type="pct"/>
            <w:vAlign w:val="center"/>
          </w:tcPr>
          <w:p w14:paraId="41DDEB1D">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20-5-7</w:t>
            </w:r>
          </w:p>
        </w:tc>
        <w:tc>
          <w:tcPr>
            <w:tcW w:w="764" w:type="pct"/>
            <w:vAlign w:val="center"/>
          </w:tcPr>
          <w:p w14:paraId="2E7B32B0">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21.38 </w:t>
            </w:r>
          </w:p>
        </w:tc>
        <w:tc>
          <w:tcPr>
            <w:tcW w:w="699" w:type="pct"/>
            <w:vAlign w:val="center"/>
          </w:tcPr>
          <w:p w14:paraId="339D2443">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8.20 </w:t>
            </w:r>
          </w:p>
        </w:tc>
        <w:tc>
          <w:tcPr>
            <w:tcW w:w="672" w:type="pct"/>
            <w:vAlign w:val="center"/>
          </w:tcPr>
          <w:p w14:paraId="52B3FBFD">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9.96 </w:t>
            </w:r>
          </w:p>
        </w:tc>
        <w:tc>
          <w:tcPr>
            <w:tcW w:w="723" w:type="pct"/>
            <w:vAlign w:val="center"/>
          </w:tcPr>
          <w:p w14:paraId="467892AB">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5.59 </w:t>
            </w:r>
          </w:p>
        </w:tc>
        <w:tc>
          <w:tcPr>
            <w:tcW w:w="896" w:type="pct"/>
            <w:shd w:val="clear" w:color="auto" w:fill="auto"/>
            <w:vAlign w:val="bottom"/>
          </w:tcPr>
          <w:p w14:paraId="41F8DFB3">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0.064 </w:t>
            </w:r>
          </w:p>
        </w:tc>
      </w:tr>
      <w:tr w14:paraId="72F97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6CE3595D">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3</w:t>
            </w:r>
            <w:r>
              <w:rPr>
                <w:rFonts w:hint="default" w:ascii="Times New Roman" w:hAnsi="Times New Roman" w:eastAsia="宋体" w:cs="Times New Roman"/>
                <w:b w:val="0"/>
                <w:bCs w:val="0"/>
                <w:color w:val="auto"/>
                <w:sz w:val="18"/>
                <w:szCs w:val="18"/>
              </w:rPr>
              <w:t>2）</w:t>
            </w:r>
          </w:p>
        </w:tc>
        <w:tc>
          <w:tcPr>
            <w:tcW w:w="659" w:type="pct"/>
            <w:vAlign w:val="center"/>
          </w:tcPr>
          <w:p w14:paraId="17EEE06B">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26-10-12</w:t>
            </w:r>
          </w:p>
        </w:tc>
        <w:tc>
          <w:tcPr>
            <w:tcW w:w="764" w:type="pct"/>
            <w:vAlign w:val="center"/>
          </w:tcPr>
          <w:p w14:paraId="1B3BE896">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26.16 </w:t>
            </w:r>
          </w:p>
        </w:tc>
        <w:tc>
          <w:tcPr>
            <w:tcW w:w="699" w:type="pct"/>
            <w:vAlign w:val="center"/>
          </w:tcPr>
          <w:p w14:paraId="0EC8CD2F">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21.98 </w:t>
            </w:r>
          </w:p>
        </w:tc>
        <w:tc>
          <w:tcPr>
            <w:tcW w:w="672" w:type="pct"/>
            <w:vAlign w:val="center"/>
          </w:tcPr>
          <w:p w14:paraId="6029366B">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22.07 </w:t>
            </w:r>
          </w:p>
        </w:tc>
        <w:tc>
          <w:tcPr>
            <w:tcW w:w="723" w:type="pct"/>
            <w:vAlign w:val="center"/>
          </w:tcPr>
          <w:p w14:paraId="563026AD">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1.25 </w:t>
            </w:r>
          </w:p>
        </w:tc>
        <w:tc>
          <w:tcPr>
            <w:tcW w:w="896" w:type="pct"/>
            <w:shd w:val="clear" w:color="auto" w:fill="auto"/>
            <w:vAlign w:val="bottom"/>
          </w:tcPr>
          <w:p w14:paraId="16B16193">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0.186 </w:t>
            </w:r>
          </w:p>
        </w:tc>
      </w:tr>
      <w:tr w14:paraId="354AD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5E125E5E">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3</w:t>
            </w:r>
            <w:r>
              <w:rPr>
                <w:rFonts w:hint="default" w:ascii="Times New Roman" w:hAnsi="Times New Roman" w:eastAsia="宋体" w:cs="Times New Roman"/>
                <w:b w:val="0"/>
                <w:bCs w:val="0"/>
                <w:color w:val="auto"/>
                <w:sz w:val="18"/>
                <w:szCs w:val="18"/>
              </w:rPr>
              <w:t>3）</w:t>
            </w:r>
          </w:p>
        </w:tc>
        <w:tc>
          <w:tcPr>
            <w:tcW w:w="659" w:type="pct"/>
            <w:vAlign w:val="center"/>
          </w:tcPr>
          <w:p w14:paraId="4BC8A105">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26-10-12</w:t>
            </w:r>
          </w:p>
        </w:tc>
        <w:tc>
          <w:tcPr>
            <w:tcW w:w="764" w:type="pct"/>
            <w:vAlign w:val="center"/>
          </w:tcPr>
          <w:p w14:paraId="773157F6">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24.80 </w:t>
            </w:r>
          </w:p>
        </w:tc>
        <w:tc>
          <w:tcPr>
            <w:tcW w:w="699" w:type="pct"/>
            <w:vAlign w:val="center"/>
          </w:tcPr>
          <w:p w14:paraId="3B6F5D2D">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21.06 </w:t>
            </w:r>
          </w:p>
        </w:tc>
        <w:tc>
          <w:tcPr>
            <w:tcW w:w="672" w:type="pct"/>
            <w:vAlign w:val="center"/>
          </w:tcPr>
          <w:p w14:paraId="07E31BBC">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24.19 </w:t>
            </w:r>
          </w:p>
        </w:tc>
        <w:tc>
          <w:tcPr>
            <w:tcW w:w="723" w:type="pct"/>
            <w:vAlign w:val="center"/>
          </w:tcPr>
          <w:p w14:paraId="2A166C53">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 xml:space="preserve">30.16 </w:t>
            </w:r>
          </w:p>
        </w:tc>
        <w:tc>
          <w:tcPr>
            <w:tcW w:w="896" w:type="pct"/>
            <w:shd w:val="clear" w:color="auto" w:fill="auto"/>
            <w:vAlign w:val="bottom"/>
          </w:tcPr>
          <w:p w14:paraId="0650C6A5">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0.199 </w:t>
            </w:r>
          </w:p>
        </w:tc>
      </w:tr>
      <w:tr w14:paraId="28448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69A67380">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3</w:t>
            </w:r>
            <w:r>
              <w:rPr>
                <w:rFonts w:hint="default" w:ascii="Times New Roman" w:hAnsi="Times New Roman" w:eastAsia="宋体" w:cs="Times New Roman"/>
                <w:b w:val="0"/>
                <w:bCs w:val="0"/>
                <w:color w:val="auto"/>
                <w:sz w:val="18"/>
                <w:szCs w:val="18"/>
              </w:rPr>
              <w:t>4）</w:t>
            </w:r>
          </w:p>
        </w:tc>
        <w:tc>
          <w:tcPr>
            <w:tcW w:w="659" w:type="pct"/>
            <w:vAlign w:val="center"/>
          </w:tcPr>
          <w:p w14:paraId="6F12DA48">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26-10-12</w:t>
            </w:r>
          </w:p>
        </w:tc>
        <w:tc>
          <w:tcPr>
            <w:tcW w:w="764" w:type="pct"/>
            <w:vAlign w:val="center"/>
          </w:tcPr>
          <w:p w14:paraId="26F41831">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25.32 </w:t>
            </w:r>
          </w:p>
        </w:tc>
        <w:tc>
          <w:tcPr>
            <w:tcW w:w="699" w:type="pct"/>
            <w:vAlign w:val="center"/>
          </w:tcPr>
          <w:p w14:paraId="2047F5DF">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21.39 </w:t>
            </w:r>
          </w:p>
        </w:tc>
        <w:tc>
          <w:tcPr>
            <w:tcW w:w="672" w:type="pct"/>
            <w:vAlign w:val="center"/>
          </w:tcPr>
          <w:p w14:paraId="2E96DA69">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21.39 </w:t>
            </w:r>
          </w:p>
        </w:tc>
        <w:tc>
          <w:tcPr>
            <w:tcW w:w="723" w:type="pct"/>
            <w:vAlign w:val="center"/>
          </w:tcPr>
          <w:p w14:paraId="1DA66AFC">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p>
        </w:tc>
        <w:tc>
          <w:tcPr>
            <w:tcW w:w="896" w:type="pct"/>
            <w:vAlign w:val="center"/>
          </w:tcPr>
          <w:p w14:paraId="7DA4AE6C">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0.432 </w:t>
            </w:r>
          </w:p>
        </w:tc>
      </w:tr>
      <w:tr w14:paraId="62D48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20A8B3D5">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3</w:t>
            </w:r>
            <w:r>
              <w:rPr>
                <w:rFonts w:hint="default" w:ascii="Times New Roman" w:hAnsi="Times New Roman" w:eastAsia="宋体" w:cs="Times New Roman"/>
                <w:b w:val="0"/>
                <w:bCs w:val="0"/>
                <w:color w:val="auto"/>
                <w:sz w:val="18"/>
                <w:szCs w:val="18"/>
              </w:rPr>
              <w:t>5）</w:t>
            </w:r>
          </w:p>
        </w:tc>
        <w:tc>
          <w:tcPr>
            <w:tcW w:w="659" w:type="pct"/>
            <w:vAlign w:val="center"/>
          </w:tcPr>
          <w:p w14:paraId="75FABB7F">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26-10-12</w:t>
            </w:r>
          </w:p>
        </w:tc>
        <w:tc>
          <w:tcPr>
            <w:tcW w:w="764" w:type="pct"/>
            <w:vAlign w:val="center"/>
          </w:tcPr>
          <w:p w14:paraId="6CA27D59">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26.60 </w:t>
            </w:r>
          </w:p>
        </w:tc>
        <w:tc>
          <w:tcPr>
            <w:tcW w:w="699" w:type="pct"/>
            <w:vAlign w:val="center"/>
          </w:tcPr>
          <w:p w14:paraId="070B477C">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22.92 </w:t>
            </w:r>
          </w:p>
        </w:tc>
        <w:tc>
          <w:tcPr>
            <w:tcW w:w="672" w:type="pct"/>
            <w:vAlign w:val="center"/>
          </w:tcPr>
          <w:p w14:paraId="415195CF">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22.92 </w:t>
            </w:r>
          </w:p>
        </w:tc>
        <w:tc>
          <w:tcPr>
            <w:tcW w:w="723" w:type="pct"/>
            <w:vAlign w:val="center"/>
          </w:tcPr>
          <w:p w14:paraId="2FE7F685">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p>
        </w:tc>
        <w:tc>
          <w:tcPr>
            <w:tcW w:w="896" w:type="pct"/>
            <w:vAlign w:val="center"/>
          </w:tcPr>
          <w:p w14:paraId="4C79D27F">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0.315 </w:t>
            </w:r>
          </w:p>
        </w:tc>
      </w:tr>
      <w:tr w14:paraId="16DA7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5F48AC0B">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3</w:t>
            </w:r>
            <w:r>
              <w:rPr>
                <w:rFonts w:hint="default" w:ascii="Times New Roman" w:hAnsi="Times New Roman" w:eastAsia="宋体" w:cs="Times New Roman"/>
                <w:b w:val="0"/>
                <w:bCs w:val="0"/>
                <w:color w:val="auto"/>
                <w:sz w:val="18"/>
                <w:szCs w:val="18"/>
              </w:rPr>
              <w:t>6）</w:t>
            </w:r>
          </w:p>
        </w:tc>
        <w:tc>
          <w:tcPr>
            <w:tcW w:w="659" w:type="pct"/>
            <w:vAlign w:val="center"/>
          </w:tcPr>
          <w:p w14:paraId="0837692C">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26-10-12</w:t>
            </w:r>
          </w:p>
        </w:tc>
        <w:tc>
          <w:tcPr>
            <w:tcW w:w="764" w:type="pct"/>
            <w:vAlign w:val="center"/>
          </w:tcPr>
          <w:p w14:paraId="2A5CA499">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FF0000"/>
                <w:sz w:val="18"/>
                <w:szCs w:val="18"/>
              </w:rPr>
            </w:pPr>
            <w:r>
              <w:rPr>
                <w:rFonts w:hint="default" w:ascii="Times New Roman" w:hAnsi="Times New Roman" w:eastAsia="宋体" w:cs="Times New Roman"/>
                <w:b w:val="0"/>
                <w:bCs w:val="0"/>
                <w:i w:val="0"/>
                <w:iCs w:val="0"/>
                <w:color w:val="FF0000"/>
                <w:kern w:val="0"/>
                <w:sz w:val="18"/>
                <w:szCs w:val="18"/>
                <w:u w:val="none"/>
                <w:lang w:val="en-US" w:eastAsia="zh-CN" w:bidi="ar"/>
              </w:rPr>
              <w:t xml:space="preserve">31.37 </w:t>
            </w:r>
          </w:p>
        </w:tc>
        <w:tc>
          <w:tcPr>
            <w:tcW w:w="699" w:type="pct"/>
            <w:vAlign w:val="center"/>
          </w:tcPr>
          <w:p w14:paraId="6E657396">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FF0000"/>
                <w:sz w:val="18"/>
                <w:szCs w:val="18"/>
              </w:rPr>
            </w:pPr>
            <w:r>
              <w:rPr>
                <w:rFonts w:hint="default" w:ascii="Times New Roman" w:hAnsi="Times New Roman" w:eastAsia="宋体" w:cs="Times New Roman"/>
                <w:b w:val="0"/>
                <w:bCs w:val="0"/>
                <w:i w:val="0"/>
                <w:iCs w:val="0"/>
                <w:color w:val="FF0000"/>
                <w:kern w:val="0"/>
                <w:sz w:val="18"/>
                <w:szCs w:val="18"/>
                <w:u w:val="none"/>
                <w:lang w:val="en-US" w:eastAsia="zh-CN" w:bidi="ar"/>
              </w:rPr>
              <w:t xml:space="preserve">30.77 </w:t>
            </w:r>
          </w:p>
        </w:tc>
        <w:tc>
          <w:tcPr>
            <w:tcW w:w="672" w:type="pct"/>
            <w:vAlign w:val="center"/>
          </w:tcPr>
          <w:p w14:paraId="6939F816">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FF0000"/>
                <w:sz w:val="18"/>
                <w:szCs w:val="18"/>
              </w:rPr>
            </w:pPr>
            <w:r>
              <w:rPr>
                <w:rFonts w:hint="default" w:ascii="Times New Roman" w:hAnsi="Times New Roman" w:eastAsia="宋体" w:cs="Times New Roman"/>
                <w:b w:val="0"/>
                <w:bCs w:val="0"/>
                <w:i w:val="0"/>
                <w:iCs w:val="0"/>
                <w:color w:val="FF0000"/>
                <w:kern w:val="0"/>
                <w:sz w:val="18"/>
                <w:szCs w:val="18"/>
                <w:u w:val="none"/>
                <w:lang w:val="en-US" w:eastAsia="zh-CN" w:bidi="ar"/>
              </w:rPr>
              <w:t xml:space="preserve">30.77 </w:t>
            </w:r>
          </w:p>
        </w:tc>
        <w:tc>
          <w:tcPr>
            <w:tcW w:w="723" w:type="pct"/>
            <w:vAlign w:val="center"/>
          </w:tcPr>
          <w:p w14:paraId="39152828">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p>
        </w:tc>
        <w:tc>
          <w:tcPr>
            <w:tcW w:w="896" w:type="pct"/>
            <w:vAlign w:val="center"/>
          </w:tcPr>
          <w:p w14:paraId="3CE17BE3">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0.275 </w:t>
            </w:r>
          </w:p>
        </w:tc>
      </w:tr>
      <w:tr w14:paraId="71A85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3E93B238">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3</w:t>
            </w:r>
            <w:r>
              <w:rPr>
                <w:rFonts w:hint="default" w:ascii="Times New Roman" w:hAnsi="Times New Roman" w:eastAsia="宋体" w:cs="Times New Roman"/>
                <w:b w:val="0"/>
                <w:bCs w:val="0"/>
                <w:color w:val="auto"/>
                <w:sz w:val="18"/>
                <w:szCs w:val="18"/>
              </w:rPr>
              <w:t>7）</w:t>
            </w:r>
          </w:p>
        </w:tc>
        <w:tc>
          <w:tcPr>
            <w:tcW w:w="659" w:type="pct"/>
            <w:vAlign w:val="center"/>
          </w:tcPr>
          <w:p w14:paraId="784D14D6">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26-10-12</w:t>
            </w:r>
          </w:p>
        </w:tc>
        <w:tc>
          <w:tcPr>
            <w:tcW w:w="764" w:type="pct"/>
            <w:vAlign w:val="center"/>
          </w:tcPr>
          <w:p w14:paraId="20F45B6C">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FF0000"/>
                <w:sz w:val="18"/>
                <w:szCs w:val="18"/>
              </w:rPr>
            </w:pPr>
            <w:r>
              <w:rPr>
                <w:rFonts w:hint="default" w:ascii="Times New Roman" w:hAnsi="Times New Roman" w:eastAsia="宋体" w:cs="Times New Roman"/>
                <w:b w:val="0"/>
                <w:bCs w:val="0"/>
                <w:i w:val="0"/>
                <w:iCs w:val="0"/>
                <w:color w:val="FF0000"/>
                <w:kern w:val="0"/>
                <w:sz w:val="18"/>
                <w:szCs w:val="18"/>
                <w:u w:val="none"/>
                <w:lang w:val="en-US" w:eastAsia="zh-CN" w:bidi="ar"/>
              </w:rPr>
              <w:t xml:space="preserve">30.25 </w:t>
            </w:r>
          </w:p>
        </w:tc>
        <w:tc>
          <w:tcPr>
            <w:tcW w:w="699" w:type="pct"/>
            <w:vAlign w:val="center"/>
          </w:tcPr>
          <w:p w14:paraId="58FF71BD">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FF0000"/>
                <w:sz w:val="18"/>
                <w:szCs w:val="18"/>
              </w:rPr>
            </w:pPr>
            <w:r>
              <w:rPr>
                <w:rFonts w:hint="default" w:ascii="Times New Roman" w:hAnsi="Times New Roman" w:eastAsia="宋体" w:cs="Times New Roman"/>
                <w:b w:val="0"/>
                <w:bCs w:val="0"/>
                <w:i w:val="0"/>
                <w:iCs w:val="0"/>
                <w:color w:val="FF0000"/>
                <w:kern w:val="0"/>
                <w:sz w:val="18"/>
                <w:szCs w:val="18"/>
                <w:u w:val="none"/>
                <w:lang w:val="en-US" w:eastAsia="zh-CN" w:bidi="ar"/>
              </w:rPr>
              <w:t xml:space="preserve">29.79 </w:t>
            </w:r>
          </w:p>
        </w:tc>
        <w:tc>
          <w:tcPr>
            <w:tcW w:w="672" w:type="pct"/>
            <w:vAlign w:val="center"/>
          </w:tcPr>
          <w:p w14:paraId="2341750A">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FF0000"/>
                <w:sz w:val="18"/>
                <w:szCs w:val="18"/>
              </w:rPr>
            </w:pPr>
            <w:r>
              <w:rPr>
                <w:rFonts w:hint="default" w:ascii="Times New Roman" w:hAnsi="Times New Roman" w:eastAsia="宋体" w:cs="Times New Roman"/>
                <w:b w:val="0"/>
                <w:bCs w:val="0"/>
                <w:i w:val="0"/>
                <w:iCs w:val="0"/>
                <w:color w:val="FF0000"/>
                <w:kern w:val="0"/>
                <w:sz w:val="18"/>
                <w:szCs w:val="18"/>
                <w:u w:val="none"/>
                <w:lang w:val="en-US" w:eastAsia="zh-CN" w:bidi="ar"/>
              </w:rPr>
              <w:t xml:space="preserve">29.79 </w:t>
            </w:r>
          </w:p>
        </w:tc>
        <w:tc>
          <w:tcPr>
            <w:tcW w:w="723" w:type="pct"/>
            <w:vAlign w:val="center"/>
          </w:tcPr>
          <w:p w14:paraId="680692E6">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p>
        </w:tc>
        <w:tc>
          <w:tcPr>
            <w:tcW w:w="896" w:type="pct"/>
            <w:vAlign w:val="center"/>
          </w:tcPr>
          <w:p w14:paraId="4C207644">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1.051 </w:t>
            </w:r>
          </w:p>
        </w:tc>
      </w:tr>
      <w:tr w14:paraId="7B297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0EAED241">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3</w:t>
            </w:r>
            <w:r>
              <w:rPr>
                <w:rFonts w:hint="default" w:ascii="Times New Roman" w:hAnsi="Times New Roman" w:eastAsia="宋体" w:cs="Times New Roman"/>
                <w:b w:val="0"/>
                <w:bCs w:val="0"/>
                <w:color w:val="auto"/>
                <w:sz w:val="18"/>
                <w:szCs w:val="18"/>
              </w:rPr>
              <w:t>8）</w:t>
            </w:r>
          </w:p>
        </w:tc>
        <w:tc>
          <w:tcPr>
            <w:tcW w:w="659" w:type="pct"/>
            <w:vAlign w:val="center"/>
          </w:tcPr>
          <w:p w14:paraId="38579E01">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26-11-11</w:t>
            </w:r>
          </w:p>
        </w:tc>
        <w:tc>
          <w:tcPr>
            <w:tcW w:w="764" w:type="pct"/>
            <w:vAlign w:val="center"/>
          </w:tcPr>
          <w:p w14:paraId="60F2014D">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26.60 </w:t>
            </w:r>
          </w:p>
        </w:tc>
        <w:tc>
          <w:tcPr>
            <w:tcW w:w="699" w:type="pct"/>
            <w:vAlign w:val="center"/>
          </w:tcPr>
          <w:p w14:paraId="77105E61">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23.83 </w:t>
            </w:r>
          </w:p>
        </w:tc>
        <w:tc>
          <w:tcPr>
            <w:tcW w:w="672" w:type="pct"/>
            <w:vAlign w:val="center"/>
          </w:tcPr>
          <w:p w14:paraId="50DAE661">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23.83 </w:t>
            </w:r>
          </w:p>
        </w:tc>
        <w:tc>
          <w:tcPr>
            <w:tcW w:w="723" w:type="pct"/>
            <w:vAlign w:val="center"/>
          </w:tcPr>
          <w:p w14:paraId="7B4364FC">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p>
        </w:tc>
        <w:tc>
          <w:tcPr>
            <w:tcW w:w="896" w:type="pct"/>
            <w:vAlign w:val="center"/>
          </w:tcPr>
          <w:p w14:paraId="71708228">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0.230 </w:t>
            </w:r>
          </w:p>
        </w:tc>
      </w:tr>
      <w:tr w14:paraId="694BC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1578256A">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39</w:t>
            </w:r>
            <w:r>
              <w:rPr>
                <w:rFonts w:hint="default" w:ascii="Times New Roman" w:hAnsi="Times New Roman" w:eastAsia="宋体" w:cs="Times New Roman"/>
                <w:b w:val="0"/>
                <w:bCs w:val="0"/>
                <w:color w:val="auto"/>
                <w:sz w:val="18"/>
                <w:szCs w:val="18"/>
              </w:rPr>
              <w:t>）</w:t>
            </w:r>
          </w:p>
        </w:tc>
        <w:tc>
          <w:tcPr>
            <w:tcW w:w="659" w:type="pct"/>
            <w:vAlign w:val="center"/>
          </w:tcPr>
          <w:p w14:paraId="54F3EF72">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26-11-11</w:t>
            </w:r>
          </w:p>
        </w:tc>
        <w:tc>
          <w:tcPr>
            <w:tcW w:w="764" w:type="pct"/>
            <w:vAlign w:val="center"/>
          </w:tcPr>
          <w:p w14:paraId="4F2DE4FE">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27.62 </w:t>
            </w:r>
          </w:p>
        </w:tc>
        <w:tc>
          <w:tcPr>
            <w:tcW w:w="699" w:type="pct"/>
            <w:vAlign w:val="center"/>
          </w:tcPr>
          <w:p w14:paraId="54DCE794">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24.26 </w:t>
            </w:r>
          </w:p>
        </w:tc>
        <w:tc>
          <w:tcPr>
            <w:tcW w:w="672" w:type="pct"/>
            <w:vAlign w:val="center"/>
          </w:tcPr>
          <w:p w14:paraId="2FF202CC">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24.26 </w:t>
            </w:r>
          </w:p>
        </w:tc>
        <w:tc>
          <w:tcPr>
            <w:tcW w:w="723" w:type="pct"/>
            <w:vAlign w:val="center"/>
          </w:tcPr>
          <w:p w14:paraId="42CB5AAB">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p>
        </w:tc>
        <w:tc>
          <w:tcPr>
            <w:tcW w:w="896" w:type="pct"/>
            <w:vAlign w:val="center"/>
          </w:tcPr>
          <w:p w14:paraId="3024E352">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0.301 </w:t>
            </w:r>
          </w:p>
        </w:tc>
      </w:tr>
      <w:tr w14:paraId="0E868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1FEFC174">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40</w:t>
            </w:r>
            <w:r>
              <w:rPr>
                <w:rFonts w:hint="default" w:ascii="Times New Roman" w:hAnsi="Times New Roman" w:eastAsia="宋体" w:cs="Times New Roman"/>
                <w:b w:val="0"/>
                <w:bCs w:val="0"/>
                <w:color w:val="auto"/>
                <w:sz w:val="18"/>
                <w:szCs w:val="18"/>
              </w:rPr>
              <w:t>）</w:t>
            </w:r>
          </w:p>
        </w:tc>
        <w:tc>
          <w:tcPr>
            <w:tcW w:w="659" w:type="pct"/>
            <w:vAlign w:val="center"/>
          </w:tcPr>
          <w:p w14:paraId="6BDAC24F">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25-11-11</w:t>
            </w:r>
          </w:p>
        </w:tc>
        <w:tc>
          <w:tcPr>
            <w:tcW w:w="764" w:type="pct"/>
            <w:vAlign w:val="center"/>
          </w:tcPr>
          <w:p w14:paraId="32A10648">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26.05 </w:t>
            </w:r>
          </w:p>
        </w:tc>
        <w:tc>
          <w:tcPr>
            <w:tcW w:w="699" w:type="pct"/>
            <w:vAlign w:val="center"/>
          </w:tcPr>
          <w:p w14:paraId="654B75C1">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23.47 </w:t>
            </w:r>
          </w:p>
        </w:tc>
        <w:tc>
          <w:tcPr>
            <w:tcW w:w="672" w:type="pct"/>
            <w:vAlign w:val="center"/>
          </w:tcPr>
          <w:p w14:paraId="1330636D">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23.47 </w:t>
            </w:r>
          </w:p>
        </w:tc>
        <w:tc>
          <w:tcPr>
            <w:tcW w:w="723" w:type="pct"/>
            <w:vAlign w:val="center"/>
          </w:tcPr>
          <w:p w14:paraId="2704F87B">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p>
        </w:tc>
        <w:tc>
          <w:tcPr>
            <w:tcW w:w="896" w:type="pct"/>
            <w:vAlign w:val="center"/>
          </w:tcPr>
          <w:p w14:paraId="18368673">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0.696 </w:t>
            </w:r>
          </w:p>
        </w:tc>
      </w:tr>
      <w:tr w14:paraId="3B4C4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3EFCE728">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4</w:t>
            </w:r>
            <w:r>
              <w:rPr>
                <w:rFonts w:hint="default" w:ascii="Times New Roman" w:hAnsi="Times New Roman" w:eastAsia="宋体" w:cs="Times New Roman"/>
                <w:b w:val="0"/>
                <w:bCs w:val="0"/>
                <w:color w:val="auto"/>
                <w:sz w:val="18"/>
                <w:szCs w:val="18"/>
              </w:rPr>
              <w:t>1）</w:t>
            </w:r>
          </w:p>
        </w:tc>
        <w:tc>
          <w:tcPr>
            <w:tcW w:w="659" w:type="pct"/>
            <w:vAlign w:val="center"/>
          </w:tcPr>
          <w:p w14:paraId="4BDE94CE">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26-10-12</w:t>
            </w:r>
          </w:p>
        </w:tc>
        <w:tc>
          <w:tcPr>
            <w:tcW w:w="764" w:type="pct"/>
            <w:vAlign w:val="center"/>
          </w:tcPr>
          <w:p w14:paraId="26F8C0D4">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25.84 </w:t>
            </w:r>
          </w:p>
        </w:tc>
        <w:tc>
          <w:tcPr>
            <w:tcW w:w="699" w:type="pct"/>
            <w:vAlign w:val="center"/>
          </w:tcPr>
          <w:p w14:paraId="6E71FCC3">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23.19 </w:t>
            </w:r>
          </w:p>
        </w:tc>
        <w:tc>
          <w:tcPr>
            <w:tcW w:w="672" w:type="pct"/>
            <w:vAlign w:val="center"/>
          </w:tcPr>
          <w:p w14:paraId="0D66AE36">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23.19 </w:t>
            </w:r>
          </w:p>
        </w:tc>
        <w:tc>
          <w:tcPr>
            <w:tcW w:w="723" w:type="pct"/>
            <w:vAlign w:val="center"/>
          </w:tcPr>
          <w:p w14:paraId="1BC1393A">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p>
        </w:tc>
        <w:tc>
          <w:tcPr>
            <w:tcW w:w="896" w:type="pct"/>
            <w:vAlign w:val="center"/>
          </w:tcPr>
          <w:p w14:paraId="33A19594">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1.038 </w:t>
            </w:r>
          </w:p>
        </w:tc>
      </w:tr>
      <w:tr w14:paraId="307DE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7F633991">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4</w:t>
            </w:r>
            <w:r>
              <w:rPr>
                <w:rFonts w:hint="default" w:ascii="Times New Roman" w:hAnsi="Times New Roman" w:eastAsia="宋体" w:cs="Times New Roman"/>
                <w:b w:val="0"/>
                <w:bCs w:val="0"/>
                <w:color w:val="auto"/>
                <w:sz w:val="18"/>
                <w:szCs w:val="18"/>
              </w:rPr>
              <w:t>2）</w:t>
            </w:r>
          </w:p>
        </w:tc>
        <w:tc>
          <w:tcPr>
            <w:tcW w:w="659" w:type="pct"/>
            <w:vAlign w:val="center"/>
          </w:tcPr>
          <w:p w14:paraId="7C487610">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26-10-12</w:t>
            </w:r>
          </w:p>
        </w:tc>
        <w:tc>
          <w:tcPr>
            <w:tcW w:w="764" w:type="pct"/>
            <w:vAlign w:val="center"/>
          </w:tcPr>
          <w:p w14:paraId="28C9957A">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27.41 </w:t>
            </w:r>
          </w:p>
        </w:tc>
        <w:tc>
          <w:tcPr>
            <w:tcW w:w="699" w:type="pct"/>
            <w:vAlign w:val="center"/>
          </w:tcPr>
          <w:p w14:paraId="4EE81966">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20.60 </w:t>
            </w:r>
          </w:p>
        </w:tc>
        <w:tc>
          <w:tcPr>
            <w:tcW w:w="672" w:type="pct"/>
            <w:vAlign w:val="center"/>
          </w:tcPr>
          <w:p w14:paraId="69C689A9">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20.60 </w:t>
            </w:r>
          </w:p>
        </w:tc>
        <w:tc>
          <w:tcPr>
            <w:tcW w:w="723" w:type="pct"/>
            <w:vAlign w:val="center"/>
          </w:tcPr>
          <w:p w14:paraId="21754B5F">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p>
        </w:tc>
        <w:tc>
          <w:tcPr>
            <w:tcW w:w="896" w:type="pct"/>
            <w:vAlign w:val="center"/>
          </w:tcPr>
          <w:p w14:paraId="28305324">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0.329 </w:t>
            </w:r>
          </w:p>
        </w:tc>
      </w:tr>
      <w:tr w14:paraId="26CDC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04283BBD">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4</w:t>
            </w:r>
            <w:r>
              <w:rPr>
                <w:rFonts w:hint="default" w:ascii="Times New Roman" w:hAnsi="Times New Roman" w:eastAsia="宋体" w:cs="Times New Roman"/>
                <w:b w:val="0"/>
                <w:bCs w:val="0"/>
                <w:color w:val="auto"/>
                <w:sz w:val="18"/>
                <w:szCs w:val="18"/>
              </w:rPr>
              <w:t>3）</w:t>
            </w:r>
          </w:p>
        </w:tc>
        <w:tc>
          <w:tcPr>
            <w:tcW w:w="659" w:type="pct"/>
            <w:vAlign w:val="center"/>
          </w:tcPr>
          <w:p w14:paraId="66D67665">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25-10-11</w:t>
            </w:r>
          </w:p>
        </w:tc>
        <w:tc>
          <w:tcPr>
            <w:tcW w:w="764" w:type="pct"/>
            <w:vAlign w:val="center"/>
          </w:tcPr>
          <w:p w14:paraId="260846BD">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26.73 </w:t>
            </w:r>
          </w:p>
        </w:tc>
        <w:tc>
          <w:tcPr>
            <w:tcW w:w="699" w:type="pct"/>
            <w:vAlign w:val="center"/>
          </w:tcPr>
          <w:p w14:paraId="4D32F8AD">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22.01 </w:t>
            </w:r>
          </w:p>
        </w:tc>
        <w:tc>
          <w:tcPr>
            <w:tcW w:w="672" w:type="pct"/>
            <w:vAlign w:val="center"/>
          </w:tcPr>
          <w:p w14:paraId="7DF6E418">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22.01 </w:t>
            </w:r>
          </w:p>
        </w:tc>
        <w:tc>
          <w:tcPr>
            <w:tcW w:w="723" w:type="pct"/>
            <w:vAlign w:val="center"/>
          </w:tcPr>
          <w:p w14:paraId="72B09CF7">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p>
        </w:tc>
        <w:tc>
          <w:tcPr>
            <w:tcW w:w="896" w:type="pct"/>
            <w:vAlign w:val="center"/>
          </w:tcPr>
          <w:p w14:paraId="019FF1F4">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0.595 </w:t>
            </w:r>
          </w:p>
        </w:tc>
      </w:tr>
      <w:tr w14:paraId="2E8FA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39B952B5">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4</w:t>
            </w:r>
            <w:r>
              <w:rPr>
                <w:rFonts w:hint="default" w:ascii="Times New Roman" w:hAnsi="Times New Roman" w:eastAsia="宋体" w:cs="Times New Roman"/>
                <w:b w:val="0"/>
                <w:bCs w:val="0"/>
                <w:color w:val="auto"/>
                <w:sz w:val="18"/>
                <w:szCs w:val="18"/>
              </w:rPr>
              <w:t>4）</w:t>
            </w:r>
          </w:p>
        </w:tc>
        <w:tc>
          <w:tcPr>
            <w:tcW w:w="659" w:type="pct"/>
            <w:vAlign w:val="center"/>
          </w:tcPr>
          <w:p w14:paraId="7D7ACAF0">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25-10-12</w:t>
            </w:r>
          </w:p>
        </w:tc>
        <w:tc>
          <w:tcPr>
            <w:tcW w:w="764" w:type="pct"/>
            <w:vAlign w:val="center"/>
          </w:tcPr>
          <w:p w14:paraId="0E7906BF">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26.89 </w:t>
            </w:r>
          </w:p>
        </w:tc>
        <w:tc>
          <w:tcPr>
            <w:tcW w:w="699" w:type="pct"/>
            <w:vAlign w:val="center"/>
          </w:tcPr>
          <w:p w14:paraId="4259B959">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24.26 </w:t>
            </w:r>
          </w:p>
        </w:tc>
        <w:tc>
          <w:tcPr>
            <w:tcW w:w="672" w:type="pct"/>
            <w:vAlign w:val="center"/>
          </w:tcPr>
          <w:p w14:paraId="2BF80A15">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24.26 </w:t>
            </w:r>
          </w:p>
        </w:tc>
        <w:tc>
          <w:tcPr>
            <w:tcW w:w="723" w:type="pct"/>
            <w:vAlign w:val="center"/>
          </w:tcPr>
          <w:p w14:paraId="73E925FD">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p>
        </w:tc>
        <w:tc>
          <w:tcPr>
            <w:tcW w:w="896" w:type="pct"/>
            <w:vAlign w:val="center"/>
          </w:tcPr>
          <w:p w14:paraId="513FFE3B">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0.728 </w:t>
            </w:r>
          </w:p>
        </w:tc>
      </w:tr>
      <w:tr w14:paraId="478B1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541B00EF">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4</w:t>
            </w:r>
            <w:r>
              <w:rPr>
                <w:rFonts w:hint="default" w:ascii="Times New Roman" w:hAnsi="Times New Roman" w:eastAsia="宋体" w:cs="Times New Roman"/>
                <w:b w:val="0"/>
                <w:bCs w:val="0"/>
                <w:color w:val="auto"/>
                <w:sz w:val="18"/>
                <w:szCs w:val="18"/>
              </w:rPr>
              <w:t>5）</w:t>
            </w:r>
          </w:p>
        </w:tc>
        <w:tc>
          <w:tcPr>
            <w:tcW w:w="659" w:type="pct"/>
            <w:vAlign w:val="center"/>
          </w:tcPr>
          <w:p w14:paraId="17DBB58D">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25-5-5</w:t>
            </w:r>
          </w:p>
        </w:tc>
        <w:tc>
          <w:tcPr>
            <w:tcW w:w="764" w:type="pct"/>
            <w:vAlign w:val="center"/>
          </w:tcPr>
          <w:p w14:paraId="0F0986BA">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29.15 </w:t>
            </w:r>
          </w:p>
        </w:tc>
        <w:tc>
          <w:tcPr>
            <w:tcW w:w="699" w:type="pct"/>
            <w:vAlign w:val="center"/>
          </w:tcPr>
          <w:p w14:paraId="0FE04910">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20.59 </w:t>
            </w:r>
          </w:p>
        </w:tc>
        <w:tc>
          <w:tcPr>
            <w:tcW w:w="672" w:type="pct"/>
            <w:vAlign w:val="center"/>
          </w:tcPr>
          <w:p w14:paraId="4D4FDCAB">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20.59 </w:t>
            </w:r>
          </w:p>
        </w:tc>
        <w:tc>
          <w:tcPr>
            <w:tcW w:w="723" w:type="pct"/>
            <w:vAlign w:val="center"/>
          </w:tcPr>
          <w:p w14:paraId="59EF05FA">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p>
        </w:tc>
        <w:tc>
          <w:tcPr>
            <w:tcW w:w="896" w:type="pct"/>
            <w:vAlign w:val="center"/>
          </w:tcPr>
          <w:p w14:paraId="6CF3C500">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0.595 </w:t>
            </w:r>
          </w:p>
        </w:tc>
      </w:tr>
      <w:tr w14:paraId="11DF6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3053AD56">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4</w:t>
            </w:r>
            <w:r>
              <w:rPr>
                <w:rFonts w:hint="default" w:ascii="Times New Roman" w:hAnsi="Times New Roman" w:eastAsia="宋体" w:cs="Times New Roman"/>
                <w:b w:val="0"/>
                <w:bCs w:val="0"/>
                <w:color w:val="auto"/>
                <w:sz w:val="18"/>
                <w:szCs w:val="18"/>
              </w:rPr>
              <w:t>6）</w:t>
            </w:r>
          </w:p>
        </w:tc>
        <w:tc>
          <w:tcPr>
            <w:tcW w:w="659" w:type="pct"/>
            <w:vAlign w:val="center"/>
          </w:tcPr>
          <w:p w14:paraId="73FEB73B">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lang w:val="en-US"/>
              </w:rPr>
            </w:pPr>
            <w:r>
              <w:rPr>
                <w:rFonts w:hint="default" w:ascii="Times New Roman" w:hAnsi="Times New Roman" w:eastAsia="宋体" w:cs="Times New Roman"/>
                <w:b w:val="0"/>
                <w:bCs w:val="0"/>
                <w:i w:val="0"/>
                <w:iCs w:val="0"/>
                <w:color w:val="auto"/>
                <w:kern w:val="0"/>
                <w:sz w:val="18"/>
                <w:szCs w:val="18"/>
                <w:u w:val="none"/>
                <w:lang w:val="en-US" w:eastAsia="zh-CN" w:bidi="ar"/>
              </w:rPr>
              <w:t>15-5-5</w:t>
            </w:r>
          </w:p>
        </w:tc>
        <w:tc>
          <w:tcPr>
            <w:tcW w:w="764" w:type="pct"/>
            <w:vAlign w:val="center"/>
          </w:tcPr>
          <w:p w14:paraId="0BA4A6D5">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16.08</w:t>
            </w:r>
          </w:p>
        </w:tc>
        <w:tc>
          <w:tcPr>
            <w:tcW w:w="699" w:type="pct"/>
            <w:vAlign w:val="center"/>
          </w:tcPr>
          <w:p w14:paraId="0730702A">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 </w:t>
            </w:r>
          </w:p>
        </w:tc>
        <w:tc>
          <w:tcPr>
            <w:tcW w:w="672" w:type="pct"/>
            <w:vAlign w:val="bottom"/>
          </w:tcPr>
          <w:p w14:paraId="15CD0317">
            <w:pPr>
              <w:keepLines w:val="0"/>
              <w:pageBreakBefore w:val="0"/>
              <w:wordWrap/>
              <w:overflowPunct/>
              <w:topLinePunct w:val="0"/>
              <w:bidi w:val="0"/>
              <w:spacing w:line="240" w:lineRule="auto"/>
              <w:rPr>
                <w:rFonts w:hint="default" w:ascii="Times New Roman" w:hAnsi="Times New Roman" w:eastAsia="宋体" w:cs="Times New Roman"/>
                <w:b w:val="0"/>
                <w:bCs w:val="0"/>
                <w:color w:val="auto"/>
                <w:sz w:val="18"/>
                <w:szCs w:val="18"/>
              </w:rPr>
            </w:pPr>
          </w:p>
        </w:tc>
        <w:tc>
          <w:tcPr>
            <w:tcW w:w="723" w:type="pct"/>
            <w:vAlign w:val="center"/>
          </w:tcPr>
          <w:p w14:paraId="4D321C7D">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p>
        </w:tc>
        <w:tc>
          <w:tcPr>
            <w:tcW w:w="896" w:type="pct"/>
            <w:vAlign w:val="center"/>
          </w:tcPr>
          <w:p w14:paraId="3764E11E">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p>
        </w:tc>
      </w:tr>
      <w:tr w14:paraId="013F2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582" w:type="pct"/>
            <w:shd w:val="clear" w:color="auto" w:fill="auto"/>
            <w:vAlign w:val="top"/>
          </w:tcPr>
          <w:p w14:paraId="767FED23">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47</w:t>
            </w:r>
            <w:r>
              <w:rPr>
                <w:rFonts w:hint="default" w:ascii="Times New Roman" w:hAnsi="Times New Roman" w:eastAsia="宋体" w:cs="Times New Roman"/>
                <w:b w:val="0"/>
                <w:bCs w:val="0"/>
                <w:color w:val="auto"/>
                <w:sz w:val="18"/>
                <w:szCs w:val="18"/>
              </w:rPr>
              <w:t>）</w:t>
            </w:r>
          </w:p>
        </w:tc>
        <w:tc>
          <w:tcPr>
            <w:tcW w:w="659" w:type="pct"/>
            <w:shd w:val="clear" w:color="auto" w:fill="auto"/>
            <w:vAlign w:val="center"/>
          </w:tcPr>
          <w:p w14:paraId="01768EF9">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i w:val="0"/>
                <w:iCs w:val="0"/>
                <w:color w:val="auto"/>
                <w:kern w:val="0"/>
                <w:sz w:val="18"/>
                <w:szCs w:val="18"/>
                <w:u w:val="none"/>
                <w:lang w:val="en-US" w:eastAsia="zh-CN" w:bidi="ar"/>
              </w:rPr>
              <w:t>稳定性尿素</w:t>
            </w:r>
          </w:p>
        </w:tc>
        <w:tc>
          <w:tcPr>
            <w:tcW w:w="764" w:type="pct"/>
            <w:vAlign w:val="center"/>
          </w:tcPr>
          <w:p w14:paraId="304D480A">
            <w:pPr>
              <w:keepLines w:val="0"/>
              <w:pageBreakBefore w:val="0"/>
              <w:wordWrap/>
              <w:overflowPunct/>
              <w:topLinePunct w:val="0"/>
              <w:bidi w:val="0"/>
              <w:spacing w:line="240" w:lineRule="auto"/>
              <w:rPr>
                <w:rFonts w:hint="default" w:ascii="Times New Roman" w:hAnsi="Times New Roman" w:eastAsia="宋体" w:cs="Times New Roman"/>
                <w:b w:val="0"/>
                <w:bCs w:val="0"/>
                <w:color w:val="auto"/>
                <w:sz w:val="18"/>
                <w:szCs w:val="18"/>
                <w:lang w:val="en-US" w:eastAsia="zh-CN"/>
              </w:rPr>
            </w:pPr>
            <w:r>
              <w:rPr>
                <w:rFonts w:hint="default" w:ascii="Times New Roman" w:hAnsi="Times New Roman" w:eastAsia="宋体" w:cs="Times New Roman"/>
                <w:b w:val="0"/>
                <w:bCs w:val="0"/>
                <w:color w:val="auto"/>
                <w:sz w:val="18"/>
                <w:szCs w:val="18"/>
                <w:lang w:val="en-US" w:eastAsia="zh-CN"/>
              </w:rPr>
              <w:t>45.77</w:t>
            </w:r>
          </w:p>
        </w:tc>
        <w:tc>
          <w:tcPr>
            <w:tcW w:w="699" w:type="pct"/>
            <w:shd w:val="clear" w:color="auto" w:fill="auto"/>
            <w:vAlign w:val="center"/>
          </w:tcPr>
          <w:p w14:paraId="77B80B9F">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lang w:val="en-US" w:eastAsia="zh-CN"/>
              </w:rPr>
              <w:t>45.27</w:t>
            </w:r>
          </w:p>
        </w:tc>
        <w:tc>
          <w:tcPr>
            <w:tcW w:w="672" w:type="pct"/>
            <w:vAlign w:val="bottom"/>
          </w:tcPr>
          <w:p w14:paraId="68E42705">
            <w:pPr>
              <w:keepLines w:val="0"/>
              <w:pageBreakBefore w:val="0"/>
              <w:wordWrap/>
              <w:overflowPunct/>
              <w:topLinePunct w:val="0"/>
              <w:bidi w:val="0"/>
              <w:spacing w:line="240" w:lineRule="auto"/>
              <w:rPr>
                <w:rFonts w:hint="default" w:ascii="Times New Roman" w:hAnsi="Times New Roman" w:eastAsia="宋体" w:cs="Times New Roman"/>
                <w:b w:val="0"/>
                <w:bCs w:val="0"/>
                <w:color w:val="auto"/>
                <w:sz w:val="18"/>
                <w:szCs w:val="18"/>
              </w:rPr>
            </w:pPr>
          </w:p>
        </w:tc>
        <w:tc>
          <w:tcPr>
            <w:tcW w:w="723" w:type="pct"/>
            <w:vAlign w:val="center"/>
          </w:tcPr>
          <w:p w14:paraId="4A973415">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p>
        </w:tc>
        <w:tc>
          <w:tcPr>
            <w:tcW w:w="896" w:type="pct"/>
            <w:vAlign w:val="bottom"/>
          </w:tcPr>
          <w:p w14:paraId="0FCEEE2F">
            <w:pPr>
              <w:keepNext w:val="0"/>
              <w:keepLines w:val="0"/>
              <w:pageBreakBefore w:val="0"/>
              <w:widowControl/>
              <w:suppressLineNumbers w:val="0"/>
              <w:wordWrap/>
              <w:overflowPunct/>
              <w:topLinePunct w:val="0"/>
              <w:bidi w:val="0"/>
              <w:spacing w:line="240" w:lineRule="auto"/>
              <w:jc w:val="right"/>
              <w:textAlignment w:val="bottom"/>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0.037 </w:t>
            </w:r>
          </w:p>
        </w:tc>
      </w:tr>
      <w:tr w14:paraId="1402C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 w:type="pct"/>
            <w:shd w:val="clear" w:color="auto" w:fill="auto"/>
            <w:vAlign w:val="top"/>
          </w:tcPr>
          <w:p w14:paraId="0C9CE796">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rPr>
              <w:t>（</w:t>
            </w:r>
            <w:r>
              <w:rPr>
                <w:rFonts w:hint="default" w:ascii="Times New Roman" w:hAnsi="Times New Roman" w:eastAsia="宋体" w:cs="Times New Roman"/>
                <w:b w:val="0"/>
                <w:bCs w:val="0"/>
                <w:color w:val="auto"/>
                <w:sz w:val="18"/>
                <w:szCs w:val="18"/>
                <w:lang w:val="en-US" w:eastAsia="zh-CN"/>
              </w:rPr>
              <w:t>48</w:t>
            </w:r>
            <w:r>
              <w:rPr>
                <w:rFonts w:hint="default" w:ascii="Times New Roman" w:hAnsi="Times New Roman" w:eastAsia="宋体" w:cs="Times New Roman"/>
                <w:b w:val="0"/>
                <w:bCs w:val="0"/>
                <w:color w:val="auto"/>
                <w:sz w:val="18"/>
                <w:szCs w:val="18"/>
              </w:rPr>
              <w:t>）</w:t>
            </w:r>
          </w:p>
        </w:tc>
        <w:tc>
          <w:tcPr>
            <w:tcW w:w="659" w:type="pct"/>
            <w:shd w:val="clear" w:color="auto" w:fill="auto"/>
            <w:vAlign w:val="center"/>
          </w:tcPr>
          <w:p w14:paraId="25C22644">
            <w:pPr>
              <w:keepNext w:val="0"/>
              <w:keepLines w:val="0"/>
              <w:pageBreakBefore w:val="0"/>
              <w:widowControl/>
              <w:suppressLineNumbers w:val="0"/>
              <w:wordWrap/>
              <w:overflowPunct/>
              <w:topLinePunct w:val="0"/>
              <w:bidi w:val="0"/>
              <w:spacing w:line="240" w:lineRule="auto"/>
              <w:jc w:val="left"/>
              <w:textAlignment w:val="center"/>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i w:val="0"/>
                <w:iCs w:val="0"/>
                <w:color w:val="auto"/>
                <w:kern w:val="0"/>
                <w:sz w:val="18"/>
                <w:szCs w:val="18"/>
                <w:u w:val="none"/>
                <w:lang w:val="en-US" w:eastAsia="zh-CN" w:bidi="ar"/>
              </w:rPr>
              <w:t>稳定性尿素</w:t>
            </w:r>
          </w:p>
        </w:tc>
        <w:tc>
          <w:tcPr>
            <w:tcW w:w="764" w:type="pct"/>
            <w:vAlign w:val="center"/>
          </w:tcPr>
          <w:p w14:paraId="78C27BDC">
            <w:pPr>
              <w:keepLines w:val="0"/>
              <w:pageBreakBefore w:val="0"/>
              <w:wordWrap/>
              <w:overflowPunct/>
              <w:topLinePunct w:val="0"/>
              <w:bidi w:val="0"/>
              <w:spacing w:line="240" w:lineRule="auto"/>
              <w:rPr>
                <w:rFonts w:hint="default" w:ascii="Times New Roman" w:hAnsi="Times New Roman" w:eastAsia="宋体" w:cs="Times New Roman"/>
                <w:b w:val="0"/>
                <w:bCs w:val="0"/>
                <w:color w:val="auto"/>
                <w:sz w:val="18"/>
                <w:szCs w:val="18"/>
                <w:lang w:val="en-US" w:eastAsia="zh-CN"/>
              </w:rPr>
            </w:pPr>
            <w:r>
              <w:rPr>
                <w:rFonts w:hint="default" w:ascii="Times New Roman" w:hAnsi="Times New Roman" w:eastAsia="宋体" w:cs="Times New Roman"/>
                <w:b w:val="0"/>
                <w:bCs w:val="0"/>
                <w:color w:val="auto"/>
                <w:sz w:val="18"/>
                <w:szCs w:val="18"/>
                <w:lang w:val="en-US" w:eastAsia="zh-CN"/>
              </w:rPr>
              <w:t>45.68</w:t>
            </w:r>
          </w:p>
        </w:tc>
        <w:tc>
          <w:tcPr>
            <w:tcW w:w="699" w:type="pct"/>
            <w:shd w:val="clear" w:color="auto" w:fill="auto"/>
            <w:vAlign w:val="center"/>
          </w:tcPr>
          <w:p w14:paraId="5DF2545E">
            <w:pPr>
              <w:keepLines w:val="0"/>
              <w:pageBreakBefore w:val="0"/>
              <w:wordWrap/>
              <w:overflowPunct/>
              <w:topLinePunct w:val="0"/>
              <w:bidi w:val="0"/>
              <w:spacing w:line="240" w:lineRule="auto"/>
              <w:rPr>
                <w:rFonts w:hint="default" w:ascii="Times New Roman" w:hAnsi="Times New Roman" w:eastAsia="宋体" w:cs="Times New Roman"/>
                <w:b w:val="0"/>
                <w:bCs w:val="0"/>
                <w:color w:val="auto"/>
                <w:kern w:val="2"/>
                <w:sz w:val="18"/>
                <w:szCs w:val="18"/>
                <w:lang w:val="en-US" w:eastAsia="zh-CN" w:bidi="ar-SA"/>
              </w:rPr>
            </w:pPr>
            <w:r>
              <w:rPr>
                <w:rFonts w:hint="default" w:ascii="Times New Roman" w:hAnsi="Times New Roman" w:eastAsia="宋体" w:cs="Times New Roman"/>
                <w:b w:val="0"/>
                <w:bCs w:val="0"/>
                <w:color w:val="auto"/>
                <w:sz w:val="18"/>
                <w:szCs w:val="18"/>
                <w:lang w:val="en-US" w:eastAsia="zh-CN"/>
              </w:rPr>
              <w:t>45.42</w:t>
            </w:r>
          </w:p>
        </w:tc>
        <w:tc>
          <w:tcPr>
            <w:tcW w:w="672" w:type="pct"/>
            <w:vAlign w:val="bottom"/>
          </w:tcPr>
          <w:p w14:paraId="11EA9E86">
            <w:pPr>
              <w:keepLines w:val="0"/>
              <w:pageBreakBefore w:val="0"/>
              <w:wordWrap/>
              <w:overflowPunct/>
              <w:topLinePunct w:val="0"/>
              <w:bidi w:val="0"/>
              <w:spacing w:line="240" w:lineRule="auto"/>
              <w:rPr>
                <w:rFonts w:hint="default" w:ascii="Times New Roman" w:hAnsi="Times New Roman" w:eastAsia="宋体" w:cs="Times New Roman"/>
                <w:b w:val="0"/>
                <w:bCs w:val="0"/>
                <w:color w:val="auto"/>
                <w:sz w:val="18"/>
                <w:szCs w:val="18"/>
              </w:rPr>
            </w:pPr>
          </w:p>
        </w:tc>
        <w:tc>
          <w:tcPr>
            <w:tcW w:w="723" w:type="pct"/>
            <w:vAlign w:val="center"/>
          </w:tcPr>
          <w:p w14:paraId="057CA046">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p>
        </w:tc>
        <w:tc>
          <w:tcPr>
            <w:tcW w:w="896" w:type="pct"/>
            <w:vAlign w:val="center"/>
          </w:tcPr>
          <w:p w14:paraId="39532108">
            <w:pPr>
              <w:keepNext w:val="0"/>
              <w:keepLines w:val="0"/>
              <w:pageBreakBefore w:val="0"/>
              <w:widowControl/>
              <w:suppressLineNumbers w:val="0"/>
              <w:wordWrap/>
              <w:overflowPunct/>
              <w:topLinePunct w:val="0"/>
              <w:bidi w:val="0"/>
              <w:spacing w:line="240" w:lineRule="auto"/>
              <w:jc w:val="right"/>
              <w:textAlignment w:val="center"/>
              <w:rPr>
                <w:rFonts w:hint="default" w:ascii="Times New Roman" w:hAnsi="Times New Roman" w:eastAsia="等线"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 xml:space="preserve">0.039 </w:t>
            </w:r>
          </w:p>
        </w:tc>
      </w:tr>
    </w:tbl>
    <w:p w14:paraId="589F6D45">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4.3 小结</w:t>
      </w:r>
    </w:p>
    <w:p w14:paraId="6593F592">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GB 35113</w:t>
      </w:r>
      <w:r>
        <w:rPr>
          <w:rFonts w:hint="eastAsia" w:ascii="Times New Roman" w:hAnsi="Times New Roman" w:eastAsia="宋体" w:cs="Times New Roman"/>
          <w:kern w:val="2"/>
          <w:sz w:val="24"/>
          <w:szCs w:val="24"/>
          <w:lang w:val="en-US" w:eastAsia="zh-CN" w:bidi="ar-SA"/>
        </w:rPr>
        <w:t>《</w:t>
      </w:r>
      <w:r>
        <w:rPr>
          <w:rFonts w:hint="default" w:ascii="Times New Roman" w:hAnsi="Times New Roman" w:eastAsia="宋体" w:cs="Times New Roman"/>
          <w:kern w:val="2"/>
          <w:sz w:val="24"/>
          <w:szCs w:val="24"/>
          <w:lang w:val="en-US" w:eastAsia="zh-CN" w:bidi="ar-SA"/>
        </w:rPr>
        <w:t>稳定性肥料</w:t>
      </w:r>
      <w:r>
        <w:rPr>
          <w:rFonts w:hint="eastAsia" w:ascii="Times New Roman" w:hAnsi="Times New Roman" w:eastAsia="宋体" w:cs="Times New Roman"/>
          <w:kern w:val="2"/>
          <w:sz w:val="24"/>
          <w:szCs w:val="24"/>
          <w:lang w:val="en-US" w:eastAsia="zh-CN" w:bidi="ar-SA"/>
        </w:rPr>
        <w:t>》中</w:t>
      </w:r>
      <w:r>
        <w:rPr>
          <w:rFonts w:hint="default" w:ascii="Times New Roman" w:hAnsi="Times New Roman" w:eastAsia="宋体" w:cs="Times New Roman"/>
          <w:kern w:val="2"/>
          <w:sz w:val="24"/>
          <w:szCs w:val="24"/>
          <w:lang w:val="en-US" w:eastAsia="zh-CN" w:bidi="ar-SA"/>
        </w:rPr>
        <w:t>未测定肥料总氮含量，</w:t>
      </w:r>
      <w:r>
        <w:rPr>
          <w:rFonts w:hint="eastAsia" w:ascii="Times New Roman" w:hAnsi="Times New Roman" w:eastAsia="宋体" w:cs="Times New Roman"/>
          <w:kern w:val="2"/>
          <w:sz w:val="24"/>
          <w:szCs w:val="24"/>
          <w:lang w:val="en-US" w:eastAsia="zh-CN" w:bidi="ar-SA"/>
        </w:rPr>
        <w:t>配制对照时是</w:t>
      </w:r>
      <w:r>
        <w:rPr>
          <w:rFonts w:hint="default" w:ascii="Times New Roman" w:hAnsi="Times New Roman" w:eastAsia="宋体" w:cs="Times New Roman"/>
          <w:kern w:val="2"/>
          <w:sz w:val="24"/>
          <w:szCs w:val="24"/>
          <w:lang w:val="en-US" w:eastAsia="zh-CN" w:bidi="ar-SA"/>
        </w:rPr>
        <w:t>直接用配方氮含量</w:t>
      </w:r>
      <w:r>
        <w:rPr>
          <w:rFonts w:hint="eastAsia" w:ascii="Times New Roman" w:hAnsi="Times New Roman" w:eastAsia="宋体" w:cs="Times New Roman"/>
          <w:kern w:val="2"/>
          <w:sz w:val="24"/>
          <w:szCs w:val="24"/>
          <w:lang w:val="en-US" w:eastAsia="zh-CN" w:bidi="ar-SA"/>
        </w:rPr>
        <w:t>减去</w:t>
      </w:r>
      <w:r>
        <w:rPr>
          <w:rFonts w:hint="default" w:ascii="Times New Roman" w:hAnsi="Times New Roman" w:eastAsia="宋体" w:cs="Times New Roman"/>
          <w:kern w:val="2"/>
          <w:sz w:val="24"/>
          <w:szCs w:val="24"/>
          <w:lang w:val="en-US" w:eastAsia="zh-CN" w:bidi="ar-SA"/>
        </w:rPr>
        <w:t>尿素氮含量</w:t>
      </w:r>
      <w:r>
        <w:rPr>
          <w:rFonts w:hint="eastAsia" w:ascii="Times New Roman" w:hAnsi="Times New Roman" w:eastAsia="宋体" w:cs="Times New Roman"/>
          <w:kern w:val="2"/>
          <w:sz w:val="24"/>
          <w:szCs w:val="24"/>
          <w:lang w:val="en-US" w:eastAsia="zh-CN" w:bidi="ar-SA"/>
        </w:rPr>
        <w:t>、减去硝态氮含量</w:t>
      </w:r>
      <w:r>
        <w:rPr>
          <w:rFonts w:hint="default" w:ascii="Times New Roman" w:hAnsi="Times New Roman" w:eastAsia="宋体" w:cs="Times New Roman"/>
          <w:kern w:val="2"/>
          <w:sz w:val="24"/>
          <w:szCs w:val="24"/>
          <w:lang w:val="en-US" w:eastAsia="zh-CN" w:bidi="ar-SA"/>
        </w:rPr>
        <w:t>，剩余氮用铵态氮含量补足；实际上</w:t>
      </w:r>
      <w:r>
        <w:rPr>
          <w:rFonts w:hint="eastAsia" w:ascii="Times New Roman" w:hAnsi="Times New Roman" w:eastAsia="宋体" w:cs="Times New Roman"/>
          <w:kern w:val="2"/>
          <w:sz w:val="24"/>
          <w:szCs w:val="24"/>
          <w:lang w:val="en-US" w:eastAsia="zh-CN" w:bidi="ar-SA"/>
        </w:rPr>
        <w:t>肥料样品中</w:t>
      </w:r>
      <w:r>
        <w:rPr>
          <w:rFonts w:hint="default" w:ascii="Times New Roman" w:hAnsi="Times New Roman" w:eastAsia="宋体" w:cs="Times New Roman"/>
          <w:kern w:val="2"/>
          <w:sz w:val="24"/>
          <w:szCs w:val="24"/>
          <w:lang w:val="en-US" w:eastAsia="zh-CN" w:bidi="ar-SA"/>
        </w:rPr>
        <w:t>测定</w:t>
      </w:r>
      <w:r>
        <w:rPr>
          <w:rFonts w:hint="eastAsia" w:ascii="Times New Roman" w:hAnsi="Times New Roman" w:eastAsia="宋体" w:cs="Times New Roman"/>
          <w:kern w:val="2"/>
          <w:sz w:val="24"/>
          <w:szCs w:val="24"/>
          <w:lang w:val="en-US" w:eastAsia="zh-CN" w:bidi="ar-SA"/>
        </w:rPr>
        <w:t>的总氮</w:t>
      </w:r>
      <w:r>
        <w:rPr>
          <w:rFonts w:hint="default" w:ascii="Times New Roman" w:hAnsi="Times New Roman" w:eastAsia="宋体" w:cs="Times New Roman"/>
          <w:kern w:val="2"/>
          <w:sz w:val="24"/>
          <w:szCs w:val="24"/>
          <w:lang w:val="en-US" w:eastAsia="zh-CN" w:bidi="ar-SA"/>
        </w:rPr>
        <w:t>含量比配方氮含量低1.37到高2.85个氮，占配方氮</w:t>
      </w:r>
      <w:r>
        <w:rPr>
          <w:rFonts w:hint="eastAsia" w:ascii="Times New Roman" w:hAnsi="Times New Roman" w:eastAsia="宋体" w:cs="Times New Roman"/>
          <w:kern w:val="2"/>
          <w:sz w:val="24"/>
          <w:szCs w:val="24"/>
          <w:lang w:val="en-US" w:eastAsia="zh-CN" w:bidi="ar-SA"/>
        </w:rPr>
        <w:t>含量</w:t>
      </w:r>
      <w:r>
        <w:rPr>
          <w:rFonts w:hint="default" w:ascii="Times New Roman" w:hAnsi="Times New Roman" w:eastAsia="宋体" w:cs="Times New Roman"/>
          <w:kern w:val="2"/>
          <w:sz w:val="24"/>
          <w:szCs w:val="24"/>
          <w:lang w:val="en-US" w:eastAsia="zh-CN" w:bidi="ar-SA"/>
        </w:rPr>
        <w:t>的14%，严重影响结果测定。</w:t>
      </w:r>
      <w:r>
        <w:rPr>
          <w:rFonts w:hint="eastAsia" w:ascii="Times New Roman" w:hAnsi="Times New Roman" w:eastAsia="宋体" w:cs="Times New Roman"/>
          <w:kern w:val="2"/>
          <w:sz w:val="24"/>
          <w:szCs w:val="24"/>
          <w:lang w:val="en-US" w:eastAsia="zh-CN" w:bidi="ar-SA"/>
        </w:rPr>
        <w:t>因此，肥料样品中的总氮含量必须测定，用于准确配制对照。</w:t>
      </w:r>
    </w:p>
    <w:p w14:paraId="6DD3B176">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另外，</w:t>
      </w:r>
      <w:r>
        <w:rPr>
          <w:rFonts w:hint="default" w:ascii="Times New Roman" w:hAnsi="Times New Roman" w:eastAsia="宋体" w:cs="Times New Roman"/>
          <w:kern w:val="2"/>
          <w:sz w:val="24"/>
          <w:szCs w:val="24"/>
          <w:lang w:val="en-US" w:eastAsia="zh-CN" w:bidi="ar-SA"/>
        </w:rPr>
        <w:t>GB 35113</w:t>
      </w:r>
      <w:r>
        <w:rPr>
          <w:rFonts w:hint="eastAsia" w:ascii="Times New Roman" w:hAnsi="Times New Roman" w:eastAsia="宋体" w:cs="Times New Roman"/>
          <w:kern w:val="2"/>
          <w:sz w:val="24"/>
          <w:szCs w:val="24"/>
          <w:lang w:val="en-US" w:eastAsia="zh-CN" w:bidi="ar-SA"/>
        </w:rPr>
        <w:t>《</w:t>
      </w:r>
      <w:r>
        <w:rPr>
          <w:rFonts w:hint="default" w:ascii="Times New Roman" w:hAnsi="Times New Roman" w:eastAsia="宋体" w:cs="Times New Roman"/>
          <w:kern w:val="2"/>
          <w:sz w:val="24"/>
          <w:szCs w:val="24"/>
          <w:lang w:val="en-US" w:eastAsia="zh-CN" w:bidi="ar-SA"/>
        </w:rPr>
        <w:t>稳定性肥料</w:t>
      </w:r>
      <w:r>
        <w:rPr>
          <w:rFonts w:hint="eastAsia" w:ascii="Times New Roman" w:hAnsi="Times New Roman" w:eastAsia="宋体" w:cs="Times New Roman"/>
          <w:kern w:val="2"/>
          <w:sz w:val="24"/>
          <w:szCs w:val="24"/>
          <w:lang w:val="en-US" w:eastAsia="zh-CN" w:bidi="ar-SA"/>
        </w:rPr>
        <w:t>》中的</w:t>
      </w:r>
      <w:r>
        <w:rPr>
          <w:rFonts w:hint="default" w:ascii="Times New Roman" w:hAnsi="Times New Roman" w:eastAsia="宋体" w:cs="Times New Roman"/>
          <w:kern w:val="2"/>
          <w:sz w:val="24"/>
          <w:szCs w:val="24"/>
          <w:lang w:val="en-US" w:eastAsia="zh-CN" w:bidi="ar-SA"/>
        </w:rPr>
        <w:t>尿素测定方法（二甲氨基苯甲醛比色法），不适合用来测定含铵态氮复合肥中的尿素含量，测定结果偏高1.27%-4.27%</w:t>
      </w:r>
      <w:r>
        <w:rPr>
          <w:rFonts w:hint="eastAsia" w:ascii="Times New Roman" w:hAnsi="Times New Roman" w:eastAsia="宋体" w:cs="Times New Roman"/>
          <w:kern w:val="2"/>
          <w:sz w:val="24"/>
          <w:szCs w:val="24"/>
          <w:lang w:val="en-US" w:eastAsia="zh-CN" w:bidi="ar-SA"/>
        </w:rPr>
        <w:t>。采用新方法ISO 19746的测定结果准确。</w:t>
      </w:r>
    </w:p>
    <w:p w14:paraId="6D269AFB">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稳定性肥料中的磷肥，大部分企业均是</w:t>
      </w:r>
      <w:r>
        <w:rPr>
          <w:rFonts w:hint="default" w:ascii="Times New Roman" w:hAnsi="Times New Roman" w:eastAsia="宋体" w:cs="Times New Roman"/>
          <w:kern w:val="2"/>
          <w:sz w:val="24"/>
          <w:szCs w:val="24"/>
          <w:lang w:val="en-US" w:eastAsia="zh-CN" w:bidi="ar-SA"/>
        </w:rPr>
        <w:t>用二铵，但是由于配方氮低于实际氮，若用一铵当作磷肥，1/3的样品出现一铵的氮和尿素的氮超过</w:t>
      </w:r>
      <w:r>
        <w:rPr>
          <w:rFonts w:hint="eastAsia" w:ascii="Times New Roman" w:hAnsi="Times New Roman" w:eastAsia="宋体" w:cs="Times New Roman"/>
          <w:kern w:val="2"/>
          <w:sz w:val="24"/>
          <w:szCs w:val="24"/>
          <w:lang w:val="en-US" w:eastAsia="zh-CN" w:bidi="ar-SA"/>
        </w:rPr>
        <w:t>总氮含</w:t>
      </w:r>
      <w:r>
        <w:rPr>
          <w:rFonts w:hint="default" w:ascii="Times New Roman" w:hAnsi="Times New Roman" w:eastAsia="宋体" w:cs="Times New Roman"/>
          <w:kern w:val="2"/>
          <w:sz w:val="24"/>
          <w:szCs w:val="24"/>
          <w:lang w:val="en-US" w:eastAsia="zh-CN" w:bidi="ar-SA"/>
        </w:rPr>
        <w:t>量的情况</w:t>
      </w:r>
      <w:r>
        <w:rPr>
          <w:rFonts w:hint="eastAsia" w:ascii="Times New Roman" w:hAnsi="Times New Roman" w:eastAsia="宋体" w:cs="Times New Roman"/>
          <w:kern w:val="2"/>
          <w:sz w:val="24"/>
          <w:szCs w:val="24"/>
          <w:lang w:val="en-US" w:eastAsia="zh-CN" w:bidi="ar-SA"/>
        </w:rPr>
        <w:t>，</w:t>
      </w:r>
      <w:r>
        <w:rPr>
          <w:rFonts w:hint="default" w:ascii="Times New Roman" w:hAnsi="Times New Roman" w:eastAsia="宋体" w:cs="Times New Roman"/>
          <w:kern w:val="2"/>
          <w:sz w:val="24"/>
          <w:szCs w:val="24"/>
          <w:lang w:val="en-US" w:eastAsia="zh-CN" w:bidi="ar-SA"/>
        </w:rPr>
        <w:t>导致</w:t>
      </w:r>
      <w:r>
        <w:rPr>
          <w:rFonts w:hint="eastAsia" w:ascii="Times New Roman" w:hAnsi="Times New Roman" w:eastAsia="宋体" w:cs="Times New Roman"/>
          <w:kern w:val="2"/>
          <w:sz w:val="24"/>
          <w:szCs w:val="24"/>
          <w:lang w:val="en-US" w:eastAsia="zh-CN" w:bidi="ar-SA"/>
        </w:rPr>
        <w:t>在计算对照氮组分时</w:t>
      </w:r>
      <w:r>
        <w:rPr>
          <w:rFonts w:hint="default" w:ascii="Times New Roman" w:hAnsi="Times New Roman" w:eastAsia="宋体" w:cs="Times New Roman"/>
          <w:kern w:val="2"/>
          <w:sz w:val="24"/>
          <w:szCs w:val="24"/>
          <w:lang w:val="en-US" w:eastAsia="zh-CN" w:bidi="ar-SA"/>
        </w:rPr>
        <w:t>某些样品中的尿素氮含量出现负值，对氮配比影响较大，</w:t>
      </w:r>
      <w:r>
        <w:rPr>
          <w:rFonts w:hint="eastAsia" w:ascii="Times New Roman" w:hAnsi="Times New Roman" w:eastAsia="宋体" w:cs="Times New Roman"/>
          <w:kern w:val="2"/>
          <w:sz w:val="24"/>
          <w:szCs w:val="24"/>
          <w:lang w:val="en-US" w:eastAsia="zh-CN" w:bidi="ar-SA"/>
        </w:rPr>
        <w:t>因此，本标准中</w:t>
      </w:r>
      <w:r>
        <w:rPr>
          <w:rFonts w:hint="default" w:ascii="Times New Roman" w:hAnsi="Times New Roman" w:eastAsia="宋体" w:cs="Times New Roman"/>
          <w:kern w:val="2"/>
          <w:sz w:val="24"/>
          <w:szCs w:val="24"/>
          <w:lang w:val="en-US" w:eastAsia="zh-CN" w:bidi="ar-SA"/>
        </w:rPr>
        <w:t>统一采用过磷酸钙当作磷，钾采用氯化钾</w:t>
      </w:r>
      <w:r>
        <w:rPr>
          <w:rFonts w:hint="eastAsia" w:ascii="Times New Roman" w:hAnsi="Times New Roman" w:eastAsia="宋体" w:cs="Times New Roman"/>
          <w:kern w:val="2"/>
          <w:sz w:val="24"/>
          <w:szCs w:val="24"/>
          <w:lang w:val="en-US" w:eastAsia="zh-CN" w:bidi="ar-SA"/>
        </w:rPr>
        <w:t>。</w:t>
      </w:r>
    </w:p>
    <w:p w14:paraId="2838F9BF">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对照中精准</w:t>
      </w:r>
      <w:r>
        <w:rPr>
          <w:rFonts w:hint="eastAsia" w:ascii="Times New Roman" w:hAnsi="Times New Roman" w:eastAsia="宋体" w:cs="Times New Roman"/>
          <w:kern w:val="2"/>
          <w:sz w:val="24"/>
          <w:szCs w:val="24"/>
          <w:lang w:val="en-US" w:eastAsia="zh-CN" w:bidi="ar-SA"/>
        </w:rPr>
        <w:t>计算</w:t>
      </w:r>
      <w:r>
        <w:rPr>
          <w:rFonts w:hint="default" w:ascii="Times New Roman" w:hAnsi="Times New Roman" w:eastAsia="宋体" w:cs="Times New Roman"/>
          <w:kern w:val="2"/>
          <w:sz w:val="24"/>
          <w:szCs w:val="24"/>
          <w:lang w:val="en-US" w:eastAsia="zh-CN" w:bidi="ar-SA"/>
        </w:rPr>
        <w:t>缩二脲的含量，能略提高硝化潜势差异，但不显著，不考虑增加</w:t>
      </w:r>
      <w:r>
        <w:rPr>
          <w:rFonts w:hint="eastAsia" w:ascii="Times New Roman" w:hAnsi="Times New Roman" w:eastAsia="宋体" w:cs="Times New Roman"/>
          <w:kern w:val="2"/>
          <w:sz w:val="24"/>
          <w:szCs w:val="24"/>
          <w:lang w:val="en-US" w:eastAsia="zh-CN" w:bidi="ar-SA"/>
        </w:rPr>
        <w:t>该</w:t>
      </w:r>
      <w:r>
        <w:rPr>
          <w:rFonts w:hint="default" w:ascii="Times New Roman" w:hAnsi="Times New Roman" w:eastAsia="宋体" w:cs="Times New Roman"/>
          <w:kern w:val="2"/>
          <w:sz w:val="24"/>
          <w:szCs w:val="24"/>
          <w:lang w:val="en-US" w:eastAsia="zh-CN" w:bidi="ar-SA"/>
        </w:rPr>
        <w:t>测定</w:t>
      </w:r>
      <w:r>
        <w:rPr>
          <w:rFonts w:hint="eastAsia" w:ascii="Times New Roman" w:hAnsi="Times New Roman" w:eastAsia="宋体" w:cs="Times New Roman"/>
          <w:kern w:val="2"/>
          <w:sz w:val="24"/>
          <w:szCs w:val="24"/>
          <w:lang w:val="en-US" w:eastAsia="zh-CN" w:bidi="ar-SA"/>
        </w:rPr>
        <w:t>内容。</w:t>
      </w:r>
    </w:p>
    <w:p w14:paraId="576259E4">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kern w:val="2"/>
          <w:sz w:val="24"/>
          <w:szCs w:val="24"/>
          <w:lang w:val="en-US" w:eastAsia="zh-CN" w:bidi="ar-SA"/>
        </w:rPr>
      </w:pPr>
    </w:p>
    <w:p w14:paraId="56CBB6E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val="0"/>
          <w:sz w:val="24"/>
          <w:szCs w:val="24"/>
          <w:lang w:val="en-US" w:eastAsia="zh-CN"/>
        </w:rPr>
      </w:pPr>
      <w:r>
        <w:rPr>
          <w:rFonts w:hint="eastAsia" w:ascii="Times New Roman" w:hAnsi="Times New Roman" w:eastAsia="宋体" w:cs="Times New Roman"/>
          <w:b/>
          <w:bCs w:val="0"/>
          <w:sz w:val="24"/>
          <w:szCs w:val="24"/>
          <w:lang w:val="en-US" w:eastAsia="zh-CN"/>
        </w:rPr>
        <w:t>5、硝化潜势测定方法优化-氯离子、颗粒颜色等因子</w:t>
      </w:r>
    </w:p>
    <w:p w14:paraId="22E6DED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bCs/>
          <w:sz w:val="24"/>
          <w:szCs w:val="24"/>
          <w:lang w:val="en-US" w:eastAsia="zh-CN"/>
        </w:rPr>
        <w:t>基于1、2、3、4的试验结果和分析，进一步</w:t>
      </w:r>
      <w:r>
        <w:rPr>
          <w:rFonts w:hint="eastAsia" w:ascii="Times New Roman" w:hAnsi="Times New Roman" w:eastAsia="宋体" w:cs="Times New Roman"/>
          <w:kern w:val="2"/>
          <w:sz w:val="24"/>
          <w:szCs w:val="24"/>
          <w:lang w:val="en-US" w:eastAsia="zh-CN" w:bidi="ar-SA"/>
        </w:rPr>
        <w:t>开展肥料样品中</w:t>
      </w:r>
      <w:r>
        <w:rPr>
          <w:rFonts w:hint="eastAsia" w:ascii="Times New Roman" w:hAnsi="Times New Roman" w:eastAsia="宋体" w:cs="Times New Roman"/>
          <w:color w:val="auto"/>
          <w:sz w:val="24"/>
          <w:szCs w:val="24"/>
          <w:lang w:val="en-US" w:eastAsia="zh-CN"/>
        </w:rPr>
        <w:t>氯离子</w:t>
      </w:r>
      <w:r>
        <w:rPr>
          <w:rFonts w:hint="eastAsia" w:ascii="Times New Roman" w:hAnsi="Times New Roman" w:eastAsia="宋体" w:cs="Times New Roman"/>
          <w:kern w:val="2"/>
          <w:sz w:val="24"/>
          <w:szCs w:val="24"/>
          <w:lang w:val="en-US" w:eastAsia="zh-CN" w:bidi="ar-SA"/>
        </w:rPr>
        <w:t>、</w:t>
      </w:r>
      <w:r>
        <w:rPr>
          <w:rFonts w:hint="eastAsia" w:ascii="Times New Roman" w:hAnsi="Times New Roman" w:eastAsia="宋体" w:cs="Times New Roman"/>
          <w:color w:val="auto"/>
          <w:sz w:val="24"/>
          <w:szCs w:val="24"/>
          <w:lang w:val="en-US" w:eastAsia="zh-CN"/>
        </w:rPr>
        <w:t>抑制剂添加浓度、颗粒颜色、比色方法、培养时间、缩二脲、土壤氮</w:t>
      </w:r>
      <w:r>
        <w:rPr>
          <w:rFonts w:hint="eastAsia" w:ascii="Times New Roman" w:hAnsi="Times New Roman" w:eastAsia="宋体" w:cs="Times New Roman"/>
          <w:kern w:val="2"/>
          <w:sz w:val="24"/>
          <w:szCs w:val="24"/>
          <w:lang w:val="en-US" w:eastAsia="zh-CN" w:bidi="ar-SA"/>
        </w:rPr>
        <w:t>这几个因子对硝化潜势抑差异率结果的影响，全面阐明各种干扰因子对该方法的影响</w:t>
      </w:r>
      <w:r>
        <w:rPr>
          <w:rFonts w:hint="eastAsia" w:ascii="Times New Roman" w:hAnsi="Times New Roman" w:eastAsia="宋体" w:cs="Times New Roman"/>
          <w:bCs/>
          <w:sz w:val="24"/>
          <w:szCs w:val="24"/>
          <w:lang w:val="en-US" w:eastAsia="zh-CN"/>
        </w:rPr>
        <w:t>。</w:t>
      </w:r>
    </w:p>
    <w:p w14:paraId="2DD13B6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5.1 材料与方法</w:t>
      </w:r>
    </w:p>
    <w:p w14:paraId="52F05B9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kern w:val="2"/>
          <w:sz w:val="24"/>
          <w:szCs w:val="24"/>
          <w:lang w:val="en-US" w:eastAsia="zh-CN" w:bidi="ar-SA"/>
        </w:rPr>
        <w:t>5.1.1</w:t>
      </w:r>
      <w:r>
        <w:rPr>
          <w:rFonts w:hint="eastAsia" w:ascii="Times New Roman" w:hAnsi="Times New Roman" w:eastAsia="宋体" w:cs="Times New Roman"/>
          <w:sz w:val="24"/>
          <w:szCs w:val="24"/>
          <w:lang w:val="en-US" w:eastAsia="zh-CN"/>
        </w:rPr>
        <w:t>供试肥料</w:t>
      </w:r>
    </w:p>
    <w:p w14:paraId="3E82871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同4.1.1中表9。</w:t>
      </w:r>
    </w:p>
    <w:p w14:paraId="5F5918F7">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5.1.2 供试土壤：棕壤。</w:t>
      </w:r>
    </w:p>
    <w:p w14:paraId="791DDD6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5.1.3 对比试验</w:t>
      </w:r>
    </w:p>
    <w:p w14:paraId="641F9CC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5.1.3.1 氯离子</w:t>
      </w:r>
    </w:p>
    <w:p w14:paraId="47017C7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选取14号肥料样品。对照氮除尿素外，设置硫铵+氯化钾、 氯铵+氯化钾、硫铵（无氯化钾）、氯铵（无氯化钾） 4组对照，本别用对照1、对照2、对照3和对照4表示，对照中的磷用过磷酸钙，验证对照中氯离子含量，也是测试对照氮、钾原材料对硝化潜势测定结果的影响。</w:t>
      </w:r>
    </w:p>
    <w:p w14:paraId="5108A0B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5.1.3.2 抑制剂添加浓度、颗粒颜色、比色方法</w:t>
      </w:r>
    </w:p>
    <w:p w14:paraId="2C8FD1A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选取16、、31、32和47号肥料样品，进行抑制剂活性（添加DCD）、颗粒颜色（活性炭吸附）和2种比色方法（</w:t>
      </w:r>
      <w:r>
        <w:rPr>
          <w:rFonts w:hint="eastAsia" w:ascii="Times New Roman" w:hAnsi="Times New Roman" w:eastAsia="宋体" w:cs="Times New Roman"/>
          <w:kern w:val="2"/>
          <w:sz w:val="22"/>
          <w:szCs w:val="22"/>
          <w:vertAlign w:val="baseline"/>
          <w:lang w:val="en-US" w:eastAsia="zh-CN" w:bidi="ar-SA"/>
        </w:rPr>
        <w:t>GB/T 41223中的快速比色法、GB/T 42485比色法</w:t>
      </w:r>
      <w:r>
        <w:rPr>
          <w:rFonts w:hint="eastAsia" w:ascii="Times New Roman" w:hAnsi="Times New Roman" w:eastAsia="宋体" w:cs="Times New Roman"/>
          <w:color w:val="auto"/>
          <w:sz w:val="24"/>
          <w:szCs w:val="24"/>
          <w:lang w:val="en-US" w:eastAsia="zh-CN"/>
        </w:rPr>
        <w:t>）的结果对比。</w:t>
      </w:r>
    </w:p>
    <w:p w14:paraId="6AEC758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5.1.3.3 培养时间、缩二脲、土壤氮</w:t>
      </w:r>
    </w:p>
    <w:p w14:paraId="745B81D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选取45号样品，进行了培养时间以及对照中是否加缩二脲的对比试验，验证最佳的培养时间和对照。</w:t>
      </w:r>
    </w:p>
    <w:p w14:paraId="023ECA9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设置计算结果中减去空白介质培养土壤的亚硝态氮含量和不减去空白介质培养土壤的亚硝态氮含量2组对比，验证土壤氮对肥料引起的硝化潜势差异的影响。供试的肥料样品是1-48号。</w:t>
      </w:r>
    </w:p>
    <w:p w14:paraId="5D2291D2">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5.1.4 土壤硝化潜势测定方法</w:t>
      </w:r>
    </w:p>
    <w:p w14:paraId="60FDFFAB">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同2.1.4。其中供试肥料样品的对照配制方案见表13。</w:t>
      </w:r>
    </w:p>
    <w:p w14:paraId="6944A919">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5.2 结果</w:t>
      </w:r>
    </w:p>
    <w:p w14:paraId="5F3CEF13">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 xml:space="preserve">5.2.1 氯离子对土壤硝化潜势的影响 </w:t>
      </w:r>
    </w:p>
    <w:p w14:paraId="0F4D2D72">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与含不同氯离子含量的对照相比，14号肥料样品的硝化潜势差异率分别为5.33%、6.01%、14.02%、14.66%（表14），说明对照中氮肥和钾肥带来的氯离子对结果无显著影响。</w:t>
      </w:r>
    </w:p>
    <w:p w14:paraId="14553502">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2" w:firstLineChars="200"/>
        <w:jc w:val="center"/>
        <w:textAlignment w:val="auto"/>
        <w:rPr>
          <w:rFonts w:hint="default" w:ascii="Times New Roman" w:hAnsi="Times New Roman" w:eastAsia="宋体" w:cs="Times New Roman"/>
          <w:b/>
          <w:bCs/>
          <w:color w:val="auto"/>
          <w:kern w:val="2"/>
          <w:sz w:val="24"/>
          <w:szCs w:val="24"/>
          <w:lang w:val="en-US" w:eastAsia="zh-CN" w:bidi="ar-SA"/>
        </w:rPr>
      </w:pPr>
      <w:r>
        <w:rPr>
          <w:rFonts w:hint="eastAsia" w:ascii="Times New Roman" w:hAnsi="Times New Roman" w:eastAsia="宋体" w:cs="Times New Roman"/>
          <w:b/>
          <w:bCs/>
          <w:color w:val="auto"/>
          <w:kern w:val="2"/>
          <w:sz w:val="24"/>
          <w:szCs w:val="24"/>
          <w:lang w:val="en-US" w:eastAsia="zh-CN" w:bidi="ar-SA"/>
        </w:rPr>
        <w:t>表13 氯离子对土壤硝化潜势的影响</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1"/>
        <w:gridCol w:w="1464"/>
        <w:gridCol w:w="3662"/>
        <w:gridCol w:w="2132"/>
      </w:tblGrid>
      <w:tr w14:paraId="52E83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pct"/>
          </w:tcPr>
          <w:p w14:paraId="55DB0D9A">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样品编号</w:t>
            </w:r>
          </w:p>
        </w:tc>
        <w:tc>
          <w:tcPr>
            <w:tcW w:w="859" w:type="pct"/>
          </w:tcPr>
          <w:p w14:paraId="4A68C883">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配方</w:t>
            </w:r>
          </w:p>
        </w:tc>
        <w:tc>
          <w:tcPr>
            <w:tcW w:w="2149" w:type="pct"/>
            <w:shd w:val="clear" w:color="auto" w:fill="auto"/>
            <w:vAlign w:val="top"/>
          </w:tcPr>
          <w:p w14:paraId="7984E733">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对照配制方案</w:t>
            </w:r>
          </w:p>
        </w:tc>
        <w:tc>
          <w:tcPr>
            <w:tcW w:w="1251" w:type="pct"/>
          </w:tcPr>
          <w:p w14:paraId="0094992B">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RNP %</w:t>
            </w:r>
          </w:p>
        </w:tc>
      </w:tr>
      <w:tr w14:paraId="70022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pct"/>
          </w:tcPr>
          <w:p w14:paraId="16077888">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14</w:t>
            </w:r>
          </w:p>
        </w:tc>
        <w:tc>
          <w:tcPr>
            <w:tcW w:w="859" w:type="pct"/>
          </w:tcPr>
          <w:p w14:paraId="659823F7">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26-11-11</w:t>
            </w:r>
          </w:p>
        </w:tc>
        <w:tc>
          <w:tcPr>
            <w:tcW w:w="2149" w:type="pct"/>
            <w:shd w:val="clear" w:color="auto" w:fill="auto"/>
            <w:vAlign w:val="top"/>
          </w:tcPr>
          <w:p w14:paraId="14E09353">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尿素+氯铵+过磷酸钙+氯化钾</w:t>
            </w:r>
          </w:p>
        </w:tc>
        <w:tc>
          <w:tcPr>
            <w:tcW w:w="1251" w:type="pct"/>
          </w:tcPr>
          <w:p w14:paraId="4DB73F05">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5.33</w:t>
            </w:r>
          </w:p>
        </w:tc>
      </w:tr>
      <w:tr w14:paraId="221E8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pct"/>
            <w:shd w:val="clear" w:color="auto" w:fill="auto"/>
            <w:vAlign w:val="top"/>
          </w:tcPr>
          <w:p w14:paraId="777E0367">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14</w:t>
            </w:r>
          </w:p>
        </w:tc>
        <w:tc>
          <w:tcPr>
            <w:tcW w:w="859" w:type="pct"/>
            <w:shd w:val="clear" w:color="auto" w:fill="auto"/>
            <w:vAlign w:val="top"/>
          </w:tcPr>
          <w:p w14:paraId="52E0CDA9">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26-11-11</w:t>
            </w:r>
          </w:p>
        </w:tc>
        <w:tc>
          <w:tcPr>
            <w:tcW w:w="2149" w:type="pct"/>
          </w:tcPr>
          <w:p w14:paraId="3DC0A35C">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尿素+氯铵+过磷酸钙</w:t>
            </w:r>
          </w:p>
        </w:tc>
        <w:tc>
          <w:tcPr>
            <w:tcW w:w="1251" w:type="pct"/>
          </w:tcPr>
          <w:p w14:paraId="5CF25548">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6.01</w:t>
            </w:r>
          </w:p>
        </w:tc>
      </w:tr>
      <w:tr w14:paraId="1CB89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pct"/>
            <w:shd w:val="clear" w:color="auto" w:fill="auto"/>
            <w:vAlign w:val="top"/>
          </w:tcPr>
          <w:p w14:paraId="248085F7">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14</w:t>
            </w:r>
          </w:p>
        </w:tc>
        <w:tc>
          <w:tcPr>
            <w:tcW w:w="859" w:type="pct"/>
            <w:shd w:val="clear" w:color="auto" w:fill="auto"/>
            <w:vAlign w:val="top"/>
          </w:tcPr>
          <w:p w14:paraId="185455BA">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26-11-11</w:t>
            </w:r>
          </w:p>
        </w:tc>
        <w:tc>
          <w:tcPr>
            <w:tcW w:w="2149" w:type="pct"/>
          </w:tcPr>
          <w:p w14:paraId="313EF6BF">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尿素+硫铵+过磷酸钙+氯化钾</w:t>
            </w:r>
          </w:p>
        </w:tc>
        <w:tc>
          <w:tcPr>
            <w:tcW w:w="1251" w:type="pct"/>
          </w:tcPr>
          <w:p w14:paraId="17791B9F">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14.20</w:t>
            </w:r>
          </w:p>
        </w:tc>
      </w:tr>
      <w:tr w14:paraId="76CDB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pct"/>
            <w:shd w:val="clear" w:color="auto" w:fill="auto"/>
            <w:vAlign w:val="top"/>
          </w:tcPr>
          <w:p w14:paraId="00AD6299">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14</w:t>
            </w:r>
          </w:p>
        </w:tc>
        <w:tc>
          <w:tcPr>
            <w:tcW w:w="859" w:type="pct"/>
            <w:shd w:val="clear" w:color="auto" w:fill="auto"/>
            <w:vAlign w:val="top"/>
          </w:tcPr>
          <w:p w14:paraId="6C296F4A">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26-11-11</w:t>
            </w:r>
          </w:p>
        </w:tc>
        <w:tc>
          <w:tcPr>
            <w:tcW w:w="2149" w:type="pct"/>
          </w:tcPr>
          <w:p w14:paraId="1C77879A">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尿素+硫铵+过磷酸钙</w:t>
            </w:r>
          </w:p>
        </w:tc>
        <w:tc>
          <w:tcPr>
            <w:tcW w:w="1251" w:type="pct"/>
          </w:tcPr>
          <w:p w14:paraId="1F7A67E2">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14.66</w:t>
            </w:r>
          </w:p>
        </w:tc>
      </w:tr>
    </w:tbl>
    <w:p w14:paraId="3908838C">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lang w:val="en-US" w:eastAsia="zh-CN" w:bidi="ar-SA"/>
        </w:rPr>
      </w:pPr>
    </w:p>
    <w:p w14:paraId="697179E6">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 xml:space="preserve">5.2.2 </w:t>
      </w:r>
      <w:r>
        <w:rPr>
          <w:rFonts w:hint="eastAsia" w:ascii="Times New Roman" w:hAnsi="Times New Roman" w:eastAsia="宋体" w:cs="Times New Roman"/>
          <w:color w:val="auto"/>
          <w:kern w:val="2"/>
          <w:sz w:val="24"/>
          <w:szCs w:val="24"/>
          <w:lang w:val="en-US" w:eastAsia="zh-CN" w:bidi="ar-SA"/>
        </w:rPr>
        <w:t>抑制剂添加量、</w:t>
      </w:r>
      <w:r>
        <w:rPr>
          <w:rFonts w:hint="eastAsia" w:ascii="Times New Roman" w:hAnsi="Times New Roman" w:eastAsia="宋体" w:cs="Times New Roman"/>
          <w:kern w:val="2"/>
          <w:sz w:val="24"/>
          <w:szCs w:val="24"/>
          <w:lang w:val="en-US" w:eastAsia="zh-CN" w:bidi="ar-SA"/>
        </w:rPr>
        <w:t xml:space="preserve">肥料颗粒颜色和比色方法对土壤硝化潜势的影响 </w:t>
      </w:r>
    </w:p>
    <w:p w14:paraId="529AF9BA">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bCs/>
          <w:color w:val="auto"/>
          <w:kern w:val="2"/>
          <w:sz w:val="24"/>
          <w:szCs w:val="24"/>
          <w:lang w:val="en-US" w:eastAsia="zh-CN" w:bidi="ar-SA"/>
        </w:rPr>
      </w:pPr>
      <w:r>
        <w:rPr>
          <w:rFonts w:hint="eastAsia" w:ascii="Times New Roman" w:hAnsi="Times New Roman" w:eastAsia="宋体" w:cs="Times New Roman"/>
          <w:kern w:val="2"/>
          <w:sz w:val="24"/>
          <w:szCs w:val="24"/>
          <w:lang w:val="en-US" w:eastAsia="zh-CN" w:bidi="ar-SA"/>
        </w:rPr>
        <w:t>由表15展示的硝化潜势差异率结果来看，两种比色方法测定结果差不多；</w:t>
      </w:r>
      <w:r>
        <w:rPr>
          <w:rFonts w:hint="eastAsia" w:ascii="Times New Roman" w:hAnsi="Times New Roman" w:eastAsia="宋体" w:cs="Times New Roman"/>
          <w:kern w:val="2"/>
          <w:sz w:val="22"/>
          <w:szCs w:val="22"/>
          <w:vertAlign w:val="baseline"/>
          <w:lang w:val="en-US" w:eastAsia="zh-CN" w:bidi="ar-SA"/>
        </w:rPr>
        <w:t>GB/T 41223</w:t>
      </w:r>
      <w:r>
        <w:rPr>
          <w:rFonts w:hint="eastAsia" w:ascii="Times New Roman" w:hAnsi="Times New Roman" w:eastAsia="宋体" w:cs="Times New Roman"/>
          <w:kern w:val="2"/>
          <w:sz w:val="24"/>
          <w:szCs w:val="24"/>
          <w:lang w:val="en-US" w:eastAsia="zh-CN" w:bidi="ar-SA"/>
        </w:rPr>
        <w:t>快速比色方法＋活性炭，能提高硝化潜势差异率；</w:t>
      </w:r>
      <w:r>
        <w:rPr>
          <w:rFonts w:hint="eastAsia" w:ascii="Times New Roman" w:hAnsi="Times New Roman" w:eastAsia="宋体" w:cs="Times New Roman"/>
          <w:kern w:val="2"/>
          <w:sz w:val="22"/>
          <w:szCs w:val="22"/>
          <w:vertAlign w:val="baseline"/>
          <w:lang w:val="en-US" w:eastAsia="zh-CN" w:bidi="ar-SA"/>
        </w:rPr>
        <w:t>GB/T 42485</w:t>
      </w:r>
      <w:r>
        <w:rPr>
          <w:rFonts w:hint="eastAsia" w:ascii="Times New Roman" w:hAnsi="Times New Roman" w:eastAsia="宋体" w:cs="Times New Roman"/>
          <w:kern w:val="2"/>
          <w:sz w:val="24"/>
          <w:szCs w:val="24"/>
          <w:lang w:val="en-US" w:eastAsia="zh-CN" w:bidi="ar-SA"/>
        </w:rPr>
        <w:t>比色方法＋活性炭，不能提高硝化潜势差异率；引起硝化潜势差异率最大的影响因素是DCD。</w:t>
      </w:r>
    </w:p>
    <w:p w14:paraId="03AE6A9F">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color w:val="FF0000"/>
          <w:kern w:val="2"/>
          <w:sz w:val="22"/>
          <w:szCs w:val="22"/>
          <w:lang w:val="en-US" w:eastAsia="zh-CN" w:bidi="ar-SA"/>
        </w:rPr>
      </w:pPr>
      <w:r>
        <w:rPr>
          <w:rFonts w:hint="eastAsia" w:ascii="Times New Roman" w:hAnsi="Times New Roman" w:eastAsia="宋体" w:cs="Times New Roman"/>
          <w:b/>
          <w:bCs/>
          <w:color w:val="auto"/>
          <w:kern w:val="2"/>
          <w:sz w:val="24"/>
          <w:szCs w:val="24"/>
          <w:lang w:val="en-US" w:eastAsia="zh-CN" w:bidi="ar-SA"/>
        </w:rPr>
        <w:t>表14 抑制剂浓度、颗粒颜色、比色方法对土壤硝化潜势的影响</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4"/>
        <w:gridCol w:w="2241"/>
        <w:gridCol w:w="3501"/>
        <w:gridCol w:w="1233"/>
      </w:tblGrid>
      <w:tr w14:paraId="67F80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vAlign w:val="top"/>
          </w:tcPr>
          <w:p w14:paraId="3B61A665">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样品编号</w:t>
            </w:r>
          </w:p>
        </w:tc>
        <w:tc>
          <w:tcPr>
            <w:tcW w:w="1315" w:type="pct"/>
            <w:vAlign w:val="top"/>
          </w:tcPr>
          <w:p w14:paraId="67A8EB79">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处理</w:t>
            </w:r>
          </w:p>
        </w:tc>
        <w:tc>
          <w:tcPr>
            <w:tcW w:w="2054" w:type="pct"/>
            <w:vAlign w:val="top"/>
          </w:tcPr>
          <w:p w14:paraId="67175919">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处理</w:t>
            </w:r>
          </w:p>
        </w:tc>
        <w:tc>
          <w:tcPr>
            <w:tcW w:w="723" w:type="pct"/>
            <w:vAlign w:val="top"/>
          </w:tcPr>
          <w:p w14:paraId="5D19DEFA">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RNP %</w:t>
            </w:r>
          </w:p>
        </w:tc>
      </w:tr>
      <w:tr w14:paraId="6A066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vAlign w:val="top"/>
          </w:tcPr>
          <w:p w14:paraId="5BE70637">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（32）</w:t>
            </w:r>
          </w:p>
        </w:tc>
        <w:tc>
          <w:tcPr>
            <w:tcW w:w="1315" w:type="pct"/>
            <w:vAlign w:val="top"/>
          </w:tcPr>
          <w:p w14:paraId="2465EB6C">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2"/>
                <w:szCs w:val="22"/>
                <w:vertAlign w:val="baseline"/>
                <w:lang w:val="en-US" w:eastAsia="zh-CN" w:bidi="ar-SA"/>
              </w:rPr>
            </w:pPr>
          </w:p>
        </w:tc>
        <w:tc>
          <w:tcPr>
            <w:tcW w:w="2054" w:type="pct"/>
            <w:vAlign w:val="top"/>
          </w:tcPr>
          <w:p w14:paraId="22F49D15">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41223快速比色法</w:t>
            </w:r>
          </w:p>
        </w:tc>
        <w:tc>
          <w:tcPr>
            <w:tcW w:w="723" w:type="pct"/>
            <w:vAlign w:val="top"/>
          </w:tcPr>
          <w:p w14:paraId="42FCEBDD">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0.17</w:t>
            </w:r>
          </w:p>
        </w:tc>
      </w:tr>
      <w:tr w14:paraId="20A9A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vAlign w:val="top"/>
          </w:tcPr>
          <w:p w14:paraId="43C4E817">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（32）</w:t>
            </w:r>
          </w:p>
        </w:tc>
        <w:tc>
          <w:tcPr>
            <w:tcW w:w="1315" w:type="pct"/>
            <w:vAlign w:val="top"/>
          </w:tcPr>
          <w:p w14:paraId="35AB0DE3">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+DCD</w:t>
            </w:r>
          </w:p>
        </w:tc>
        <w:tc>
          <w:tcPr>
            <w:tcW w:w="2054" w:type="pct"/>
            <w:vAlign w:val="top"/>
          </w:tcPr>
          <w:p w14:paraId="56887829">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41223快速比色法</w:t>
            </w:r>
          </w:p>
        </w:tc>
        <w:tc>
          <w:tcPr>
            <w:tcW w:w="723" w:type="pct"/>
            <w:vAlign w:val="top"/>
          </w:tcPr>
          <w:p w14:paraId="7CB72C19">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5.37</w:t>
            </w:r>
          </w:p>
        </w:tc>
      </w:tr>
      <w:tr w14:paraId="265FA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vAlign w:val="top"/>
          </w:tcPr>
          <w:p w14:paraId="3D8235F9">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（32）</w:t>
            </w:r>
          </w:p>
        </w:tc>
        <w:tc>
          <w:tcPr>
            <w:tcW w:w="1315" w:type="pct"/>
            <w:vAlign w:val="top"/>
          </w:tcPr>
          <w:p w14:paraId="20DB02A6">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+活性炭</w:t>
            </w:r>
          </w:p>
        </w:tc>
        <w:tc>
          <w:tcPr>
            <w:tcW w:w="2054" w:type="pct"/>
            <w:vAlign w:val="top"/>
          </w:tcPr>
          <w:p w14:paraId="75F932CB">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41223快速比色法</w:t>
            </w:r>
          </w:p>
        </w:tc>
        <w:tc>
          <w:tcPr>
            <w:tcW w:w="723" w:type="pct"/>
            <w:vAlign w:val="top"/>
          </w:tcPr>
          <w:p w14:paraId="233F9A06">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3.19</w:t>
            </w:r>
          </w:p>
        </w:tc>
      </w:tr>
      <w:tr w14:paraId="780E3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vAlign w:val="top"/>
          </w:tcPr>
          <w:p w14:paraId="2025C1F3">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（32）</w:t>
            </w:r>
          </w:p>
        </w:tc>
        <w:tc>
          <w:tcPr>
            <w:tcW w:w="1315" w:type="pct"/>
            <w:vAlign w:val="top"/>
          </w:tcPr>
          <w:p w14:paraId="35EC0836">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+DCD+活性炭</w:t>
            </w:r>
          </w:p>
        </w:tc>
        <w:tc>
          <w:tcPr>
            <w:tcW w:w="2054" w:type="pct"/>
            <w:vAlign w:val="top"/>
          </w:tcPr>
          <w:p w14:paraId="5EDBD8EC">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41223快速比色法</w:t>
            </w:r>
          </w:p>
        </w:tc>
        <w:tc>
          <w:tcPr>
            <w:tcW w:w="723" w:type="pct"/>
            <w:vAlign w:val="top"/>
          </w:tcPr>
          <w:p w14:paraId="541689F5">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7.70</w:t>
            </w:r>
          </w:p>
        </w:tc>
      </w:tr>
      <w:tr w14:paraId="41AF8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vAlign w:val="top"/>
          </w:tcPr>
          <w:p w14:paraId="279BFAAB">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（31）</w:t>
            </w:r>
          </w:p>
        </w:tc>
        <w:tc>
          <w:tcPr>
            <w:tcW w:w="1315" w:type="pct"/>
            <w:vAlign w:val="top"/>
          </w:tcPr>
          <w:p w14:paraId="7E075112">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2"/>
                <w:szCs w:val="22"/>
                <w:vertAlign w:val="baseline"/>
                <w:lang w:val="en-US" w:eastAsia="zh-CN" w:bidi="ar-SA"/>
              </w:rPr>
            </w:pPr>
          </w:p>
        </w:tc>
        <w:tc>
          <w:tcPr>
            <w:tcW w:w="2054" w:type="pct"/>
            <w:vAlign w:val="top"/>
          </w:tcPr>
          <w:p w14:paraId="76E0CC50">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41223快速比色法</w:t>
            </w:r>
          </w:p>
        </w:tc>
        <w:tc>
          <w:tcPr>
            <w:tcW w:w="723" w:type="pct"/>
            <w:vAlign w:val="top"/>
          </w:tcPr>
          <w:p w14:paraId="0F371733">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-2.41</w:t>
            </w:r>
          </w:p>
        </w:tc>
      </w:tr>
      <w:tr w14:paraId="2F173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vAlign w:val="top"/>
          </w:tcPr>
          <w:p w14:paraId="0A614EED">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（31）</w:t>
            </w:r>
          </w:p>
        </w:tc>
        <w:tc>
          <w:tcPr>
            <w:tcW w:w="1315" w:type="pct"/>
            <w:shd w:val="clear" w:color="auto" w:fill="auto"/>
            <w:vAlign w:val="top"/>
          </w:tcPr>
          <w:p w14:paraId="7E1F5195">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+DCD</w:t>
            </w:r>
          </w:p>
        </w:tc>
        <w:tc>
          <w:tcPr>
            <w:tcW w:w="2054" w:type="pct"/>
            <w:vAlign w:val="top"/>
          </w:tcPr>
          <w:p w14:paraId="2408E192">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41223快速比色法</w:t>
            </w:r>
          </w:p>
        </w:tc>
        <w:tc>
          <w:tcPr>
            <w:tcW w:w="723" w:type="pct"/>
            <w:vAlign w:val="top"/>
          </w:tcPr>
          <w:p w14:paraId="175D112D">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4.24</w:t>
            </w:r>
          </w:p>
        </w:tc>
      </w:tr>
      <w:tr w14:paraId="69F46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vAlign w:val="top"/>
          </w:tcPr>
          <w:p w14:paraId="2BF3CA17">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（31）</w:t>
            </w:r>
          </w:p>
        </w:tc>
        <w:tc>
          <w:tcPr>
            <w:tcW w:w="1315" w:type="pct"/>
            <w:shd w:val="clear" w:color="auto" w:fill="auto"/>
            <w:vAlign w:val="top"/>
          </w:tcPr>
          <w:p w14:paraId="6332D53D">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+活性炭</w:t>
            </w:r>
          </w:p>
        </w:tc>
        <w:tc>
          <w:tcPr>
            <w:tcW w:w="2054" w:type="pct"/>
            <w:vAlign w:val="top"/>
          </w:tcPr>
          <w:p w14:paraId="0AE626C0">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41223快速比色法</w:t>
            </w:r>
          </w:p>
        </w:tc>
        <w:tc>
          <w:tcPr>
            <w:tcW w:w="723" w:type="pct"/>
            <w:vAlign w:val="top"/>
          </w:tcPr>
          <w:p w14:paraId="065B66BE">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-3.20</w:t>
            </w:r>
          </w:p>
        </w:tc>
      </w:tr>
      <w:tr w14:paraId="27FB0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vAlign w:val="top"/>
          </w:tcPr>
          <w:p w14:paraId="7A172DCE">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（31）</w:t>
            </w:r>
          </w:p>
        </w:tc>
        <w:tc>
          <w:tcPr>
            <w:tcW w:w="1315" w:type="pct"/>
            <w:shd w:val="clear" w:color="auto" w:fill="auto"/>
            <w:vAlign w:val="top"/>
          </w:tcPr>
          <w:p w14:paraId="0A31AA3F">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+DCD+活性炭</w:t>
            </w:r>
          </w:p>
        </w:tc>
        <w:tc>
          <w:tcPr>
            <w:tcW w:w="2054" w:type="pct"/>
            <w:vAlign w:val="top"/>
          </w:tcPr>
          <w:p w14:paraId="5014DE4B">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41223快速比色法</w:t>
            </w:r>
          </w:p>
        </w:tc>
        <w:tc>
          <w:tcPr>
            <w:tcW w:w="723" w:type="pct"/>
            <w:vAlign w:val="top"/>
          </w:tcPr>
          <w:p w14:paraId="58A92466">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5.22</w:t>
            </w:r>
          </w:p>
        </w:tc>
      </w:tr>
      <w:tr w14:paraId="0E308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shd w:val="clear" w:color="auto" w:fill="auto"/>
            <w:vAlign w:val="top"/>
          </w:tcPr>
          <w:p w14:paraId="0FFEE6F7">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（32）</w:t>
            </w:r>
          </w:p>
        </w:tc>
        <w:tc>
          <w:tcPr>
            <w:tcW w:w="1315" w:type="pct"/>
            <w:shd w:val="clear" w:color="auto" w:fill="auto"/>
            <w:vAlign w:val="top"/>
          </w:tcPr>
          <w:p w14:paraId="3B0AAA10">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p>
        </w:tc>
        <w:tc>
          <w:tcPr>
            <w:tcW w:w="2054" w:type="pct"/>
            <w:vAlign w:val="top"/>
          </w:tcPr>
          <w:p w14:paraId="1216AC8C">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42485比色法</w:t>
            </w:r>
          </w:p>
        </w:tc>
        <w:tc>
          <w:tcPr>
            <w:tcW w:w="723" w:type="pct"/>
            <w:vAlign w:val="top"/>
          </w:tcPr>
          <w:p w14:paraId="3F3B5F30">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1.74</w:t>
            </w:r>
          </w:p>
        </w:tc>
      </w:tr>
      <w:tr w14:paraId="1CDA8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shd w:val="clear" w:color="auto" w:fill="auto"/>
            <w:vAlign w:val="top"/>
          </w:tcPr>
          <w:p w14:paraId="2822A5D7">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（32）</w:t>
            </w:r>
          </w:p>
        </w:tc>
        <w:tc>
          <w:tcPr>
            <w:tcW w:w="1315" w:type="pct"/>
            <w:shd w:val="clear" w:color="auto" w:fill="auto"/>
            <w:vAlign w:val="top"/>
          </w:tcPr>
          <w:p w14:paraId="31BA0121">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+DCD</w:t>
            </w:r>
          </w:p>
        </w:tc>
        <w:tc>
          <w:tcPr>
            <w:tcW w:w="2054" w:type="pct"/>
            <w:vAlign w:val="top"/>
          </w:tcPr>
          <w:p w14:paraId="336F060D">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42485比色法</w:t>
            </w:r>
          </w:p>
        </w:tc>
        <w:tc>
          <w:tcPr>
            <w:tcW w:w="723" w:type="pct"/>
            <w:vAlign w:val="top"/>
          </w:tcPr>
          <w:p w14:paraId="1DFA54B4">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16.52</w:t>
            </w:r>
          </w:p>
        </w:tc>
      </w:tr>
      <w:tr w14:paraId="7832D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shd w:val="clear" w:color="auto" w:fill="auto"/>
            <w:vAlign w:val="top"/>
          </w:tcPr>
          <w:p w14:paraId="316318CE">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（32）</w:t>
            </w:r>
          </w:p>
        </w:tc>
        <w:tc>
          <w:tcPr>
            <w:tcW w:w="1315" w:type="pct"/>
            <w:shd w:val="clear" w:color="auto" w:fill="auto"/>
            <w:vAlign w:val="top"/>
          </w:tcPr>
          <w:p w14:paraId="1878352B">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+活性炭</w:t>
            </w:r>
          </w:p>
        </w:tc>
        <w:tc>
          <w:tcPr>
            <w:tcW w:w="2054" w:type="pct"/>
            <w:vAlign w:val="top"/>
          </w:tcPr>
          <w:p w14:paraId="6A2190C2">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42485比色法</w:t>
            </w:r>
          </w:p>
        </w:tc>
        <w:tc>
          <w:tcPr>
            <w:tcW w:w="723" w:type="pct"/>
            <w:vAlign w:val="top"/>
          </w:tcPr>
          <w:p w14:paraId="7A805802">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1.29</w:t>
            </w:r>
          </w:p>
        </w:tc>
      </w:tr>
      <w:tr w14:paraId="33D8B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shd w:val="clear" w:color="auto" w:fill="auto"/>
            <w:vAlign w:val="top"/>
          </w:tcPr>
          <w:p w14:paraId="79D7B1C7">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（32）</w:t>
            </w:r>
          </w:p>
        </w:tc>
        <w:tc>
          <w:tcPr>
            <w:tcW w:w="1315" w:type="pct"/>
            <w:shd w:val="clear" w:color="auto" w:fill="auto"/>
            <w:vAlign w:val="top"/>
          </w:tcPr>
          <w:p w14:paraId="42E0E1C1">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+DCD+活性炭</w:t>
            </w:r>
          </w:p>
        </w:tc>
        <w:tc>
          <w:tcPr>
            <w:tcW w:w="2054" w:type="pct"/>
            <w:vAlign w:val="top"/>
          </w:tcPr>
          <w:p w14:paraId="6A132203">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42485比色法</w:t>
            </w:r>
          </w:p>
        </w:tc>
        <w:tc>
          <w:tcPr>
            <w:tcW w:w="723" w:type="pct"/>
            <w:vAlign w:val="top"/>
          </w:tcPr>
          <w:p w14:paraId="0929B303">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10.32</w:t>
            </w:r>
          </w:p>
        </w:tc>
      </w:tr>
      <w:tr w14:paraId="2F8C7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shd w:val="clear" w:color="auto" w:fill="auto"/>
            <w:vAlign w:val="top"/>
          </w:tcPr>
          <w:p w14:paraId="0B57F5C9">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（31）</w:t>
            </w:r>
          </w:p>
        </w:tc>
        <w:tc>
          <w:tcPr>
            <w:tcW w:w="1315" w:type="pct"/>
            <w:shd w:val="clear" w:color="auto" w:fill="auto"/>
            <w:vAlign w:val="top"/>
          </w:tcPr>
          <w:p w14:paraId="4568EF6A">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p>
        </w:tc>
        <w:tc>
          <w:tcPr>
            <w:tcW w:w="2054" w:type="pct"/>
            <w:vAlign w:val="top"/>
          </w:tcPr>
          <w:p w14:paraId="58FC999E">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42485比色法</w:t>
            </w:r>
          </w:p>
        </w:tc>
        <w:tc>
          <w:tcPr>
            <w:tcW w:w="723" w:type="pct"/>
            <w:vAlign w:val="top"/>
          </w:tcPr>
          <w:p w14:paraId="31A0BC15">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10.68</w:t>
            </w:r>
          </w:p>
        </w:tc>
      </w:tr>
      <w:tr w14:paraId="1C5F8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shd w:val="clear" w:color="auto" w:fill="auto"/>
            <w:vAlign w:val="top"/>
          </w:tcPr>
          <w:p w14:paraId="664B34EC">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（31）</w:t>
            </w:r>
          </w:p>
        </w:tc>
        <w:tc>
          <w:tcPr>
            <w:tcW w:w="1315" w:type="pct"/>
            <w:shd w:val="clear" w:color="auto" w:fill="auto"/>
            <w:vAlign w:val="top"/>
          </w:tcPr>
          <w:p w14:paraId="6614992F">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+DCD</w:t>
            </w:r>
          </w:p>
        </w:tc>
        <w:tc>
          <w:tcPr>
            <w:tcW w:w="2054" w:type="pct"/>
            <w:vAlign w:val="top"/>
          </w:tcPr>
          <w:p w14:paraId="4F47D4E5">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42485比色法</w:t>
            </w:r>
          </w:p>
        </w:tc>
        <w:tc>
          <w:tcPr>
            <w:tcW w:w="723" w:type="pct"/>
            <w:vAlign w:val="top"/>
          </w:tcPr>
          <w:p w14:paraId="26213DC0">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10.68</w:t>
            </w:r>
          </w:p>
        </w:tc>
      </w:tr>
      <w:tr w14:paraId="5E79F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shd w:val="clear" w:color="auto" w:fill="auto"/>
            <w:vAlign w:val="top"/>
          </w:tcPr>
          <w:p w14:paraId="5168903E">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（31）</w:t>
            </w:r>
          </w:p>
        </w:tc>
        <w:tc>
          <w:tcPr>
            <w:tcW w:w="1315" w:type="pct"/>
            <w:shd w:val="clear" w:color="auto" w:fill="auto"/>
            <w:vAlign w:val="top"/>
          </w:tcPr>
          <w:p w14:paraId="15079719">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+活性炭</w:t>
            </w:r>
          </w:p>
        </w:tc>
        <w:tc>
          <w:tcPr>
            <w:tcW w:w="2054" w:type="pct"/>
            <w:vAlign w:val="top"/>
          </w:tcPr>
          <w:p w14:paraId="5632AE7F">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42485比色法</w:t>
            </w:r>
          </w:p>
        </w:tc>
        <w:tc>
          <w:tcPr>
            <w:tcW w:w="723" w:type="pct"/>
            <w:vAlign w:val="top"/>
          </w:tcPr>
          <w:p w14:paraId="610FE182">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-3.01</w:t>
            </w:r>
          </w:p>
        </w:tc>
      </w:tr>
      <w:tr w14:paraId="1C03E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shd w:val="clear" w:color="auto" w:fill="auto"/>
            <w:vAlign w:val="top"/>
          </w:tcPr>
          <w:p w14:paraId="04D2C8ED">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（31）</w:t>
            </w:r>
          </w:p>
        </w:tc>
        <w:tc>
          <w:tcPr>
            <w:tcW w:w="1315" w:type="pct"/>
            <w:shd w:val="clear" w:color="auto" w:fill="auto"/>
            <w:vAlign w:val="top"/>
          </w:tcPr>
          <w:p w14:paraId="44F15F47">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+DCD+活性炭</w:t>
            </w:r>
          </w:p>
        </w:tc>
        <w:tc>
          <w:tcPr>
            <w:tcW w:w="2054" w:type="pct"/>
            <w:vAlign w:val="top"/>
          </w:tcPr>
          <w:p w14:paraId="632DD3C7">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42485比色法</w:t>
            </w:r>
          </w:p>
        </w:tc>
        <w:tc>
          <w:tcPr>
            <w:tcW w:w="723" w:type="pct"/>
            <w:vAlign w:val="top"/>
          </w:tcPr>
          <w:p w14:paraId="51FE6B1F">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15.06</w:t>
            </w:r>
          </w:p>
        </w:tc>
      </w:tr>
      <w:tr w14:paraId="56DFB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906" w:type="pct"/>
            <w:vAlign w:val="top"/>
          </w:tcPr>
          <w:p w14:paraId="22D47FF9">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（16）</w:t>
            </w:r>
          </w:p>
        </w:tc>
        <w:tc>
          <w:tcPr>
            <w:tcW w:w="1315" w:type="pct"/>
            <w:shd w:val="clear" w:color="auto" w:fill="auto"/>
            <w:vAlign w:val="top"/>
          </w:tcPr>
          <w:p w14:paraId="3E6E52DB">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p>
        </w:tc>
        <w:tc>
          <w:tcPr>
            <w:tcW w:w="2054" w:type="pct"/>
            <w:shd w:val="clear" w:color="auto" w:fill="auto"/>
            <w:vAlign w:val="top"/>
          </w:tcPr>
          <w:p w14:paraId="0E8B6EC9">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41223快速比色法</w:t>
            </w:r>
          </w:p>
        </w:tc>
        <w:tc>
          <w:tcPr>
            <w:tcW w:w="723" w:type="pct"/>
            <w:vAlign w:val="top"/>
          </w:tcPr>
          <w:p w14:paraId="4391287B">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3.02</w:t>
            </w:r>
          </w:p>
        </w:tc>
      </w:tr>
      <w:tr w14:paraId="2CAF7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vAlign w:val="top"/>
          </w:tcPr>
          <w:p w14:paraId="5673C0EA">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（16）</w:t>
            </w:r>
          </w:p>
        </w:tc>
        <w:tc>
          <w:tcPr>
            <w:tcW w:w="1315" w:type="pct"/>
            <w:shd w:val="clear" w:color="auto" w:fill="auto"/>
            <w:vAlign w:val="top"/>
          </w:tcPr>
          <w:p w14:paraId="49B3ADD0">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+DCD</w:t>
            </w:r>
          </w:p>
        </w:tc>
        <w:tc>
          <w:tcPr>
            <w:tcW w:w="2054" w:type="pct"/>
            <w:shd w:val="clear" w:color="auto" w:fill="auto"/>
            <w:vAlign w:val="top"/>
          </w:tcPr>
          <w:p w14:paraId="0021B455">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41223快速比色法</w:t>
            </w:r>
          </w:p>
        </w:tc>
        <w:tc>
          <w:tcPr>
            <w:tcW w:w="723" w:type="pct"/>
            <w:vAlign w:val="top"/>
          </w:tcPr>
          <w:p w14:paraId="09404131">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2.74</w:t>
            </w:r>
          </w:p>
        </w:tc>
      </w:tr>
      <w:tr w14:paraId="6FE77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vAlign w:val="top"/>
          </w:tcPr>
          <w:p w14:paraId="2B6CF45D">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（16）</w:t>
            </w:r>
          </w:p>
        </w:tc>
        <w:tc>
          <w:tcPr>
            <w:tcW w:w="1315" w:type="pct"/>
            <w:shd w:val="clear" w:color="auto" w:fill="auto"/>
            <w:vAlign w:val="top"/>
          </w:tcPr>
          <w:p w14:paraId="66762764">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+活性炭</w:t>
            </w:r>
          </w:p>
        </w:tc>
        <w:tc>
          <w:tcPr>
            <w:tcW w:w="2054" w:type="pct"/>
            <w:shd w:val="clear" w:color="auto" w:fill="auto"/>
            <w:vAlign w:val="top"/>
          </w:tcPr>
          <w:p w14:paraId="7B4CEC4F">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41223快速比色法</w:t>
            </w:r>
          </w:p>
        </w:tc>
        <w:tc>
          <w:tcPr>
            <w:tcW w:w="723" w:type="pct"/>
            <w:vAlign w:val="top"/>
          </w:tcPr>
          <w:p w14:paraId="16D48841">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2.99</w:t>
            </w:r>
          </w:p>
        </w:tc>
      </w:tr>
      <w:tr w14:paraId="50FA8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vAlign w:val="top"/>
          </w:tcPr>
          <w:p w14:paraId="63E93B7D">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（16）</w:t>
            </w:r>
          </w:p>
        </w:tc>
        <w:tc>
          <w:tcPr>
            <w:tcW w:w="1315" w:type="pct"/>
            <w:shd w:val="clear" w:color="auto" w:fill="auto"/>
            <w:vAlign w:val="top"/>
          </w:tcPr>
          <w:p w14:paraId="01C4EF6A">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+DCD+活性炭</w:t>
            </w:r>
          </w:p>
        </w:tc>
        <w:tc>
          <w:tcPr>
            <w:tcW w:w="2054" w:type="pct"/>
            <w:shd w:val="clear" w:color="auto" w:fill="auto"/>
            <w:vAlign w:val="top"/>
          </w:tcPr>
          <w:p w14:paraId="2276F123">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41223快速比色法</w:t>
            </w:r>
          </w:p>
        </w:tc>
        <w:tc>
          <w:tcPr>
            <w:tcW w:w="723" w:type="pct"/>
            <w:vAlign w:val="top"/>
          </w:tcPr>
          <w:p w14:paraId="71935422">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0.59</w:t>
            </w:r>
          </w:p>
        </w:tc>
      </w:tr>
      <w:tr w14:paraId="0859A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vAlign w:val="top"/>
          </w:tcPr>
          <w:p w14:paraId="5A57898F">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（47）</w:t>
            </w:r>
          </w:p>
        </w:tc>
        <w:tc>
          <w:tcPr>
            <w:tcW w:w="1315" w:type="pct"/>
            <w:shd w:val="clear" w:color="auto" w:fill="auto"/>
            <w:vAlign w:val="top"/>
          </w:tcPr>
          <w:p w14:paraId="7090213C">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p>
        </w:tc>
        <w:tc>
          <w:tcPr>
            <w:tcW w:w="2054" w:type="pct"/>
            <w:shd w:val="clear" w:color="auto" w:fill="auto"/>
            <w:vAlign w:val="top"/>
          </w:tcPr>
          <w:p w14:paraId="55554586">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41223快速比色法</w:t>
            </w:r>
          </w:p>
        </w:tc>
        <w:tc>
          <w:tcPr>
            <w:tcW w:w="723" w:type="pct"/>
            <w:vAlign w:val="top"/>
          </w:tcPr>
          <w:p w14:paraId="5EA0116B">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0.30</w:t>
            </w:r>
          </w:p>
        </w:tc>
      </w:tr>
      <w:tr w14:paraId="2BADC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vAlign w:val="top"/>
          </w:tcPr>
          <w:p w14:paraId="0DE5C7E4">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（47）</w:t>
            </w:r>
          </w:p>
        </w:tc>
        <w:tc>
          <w:tcPr>
            <w:tcW w:w="1315" w:type="pct"/>
            <w:shd w:val="clear" w:color="auto" w:fill="auto"/>
            <w:vAlign w:val="top"/>
          </w:tcPr>
          <w:p w14:paraId="5B77DAE7">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+DCD</w:t>
            </w:r>
          </w:p>
        </w:tc>
        <w:tc>
          <w:tcPr>
            <w:tcW w:w="2054" w:type="pct"/>
            <w:shd w:val="clear" w:color="auto" w:fill="auto"/>
            <w:vAlign w:val="top"/>
          </w:tcPr>
          <w:p w14:paraId="58B3CB4E">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41223快速比色法</w:t>
            </w:r>
          </w:p>
        </w:tc>
        <w:tc>
          <w:tcPr>
            <w:tcW w:w="723" w:type="pct"/>
            <w:vAlign w:val="top"/>
          </w:tcPr>
          <w:p w14:paraId="5C6BCA16">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1.63</w:t>
            </w:r>
          </w:p>
        </w:tc>
      </w:tr>
      <w:tr w14:paraId="47917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vAlign w:val="top"/>
          </w:tcPr>
          <w:p w14:paraId="151B2AF0">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（47）</w:t>
            </w:r>
          </w:p>
        </w:tc>
        <w:tc>
          <w:tcPr>
            <w:tcW w:w="1315" w:type="pct"/>
            <w:shd w:val="clear" w:color="auto" w:fill="auto"/>
            <w:vAlign w:val="top"/>
          </w:tcPr>
          <w:p w14:paraId="77AB6DA9">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+活性炭</w:t>
            </w:r>
          </w:p>
        </w:tc>
        <w:tc>
          <w:tcPr>
            <w:tcW w:w="2054" w:type="pct"/>
            <w:shd w:val="clear" w:color="auto" w:fill="auto"/>
            <w:vAlign w:val="top"/>
          </w:tcPr>
          <w:p w14:paraId="6B24E644">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41223快速比色法</w:t>
            </w:r>
          </w:p>
        </w:tc>
        <w:tc>
          <w:tcPr>
            <w:tcW w:w="723" w:type="pct"/>
            <w:vAlign w:val="top"/>
          </w:tcPr>
          <w:p w14:paraId="2D659F37">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4.23</w:t>
            </w:r>
          </w:p>
        </w:tc>
      </w:tr>
      <w:tr w14:paraId="21654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vAlign w:val="top"/>
          </w:tcPr>
          <w:p w14:paraId="79C9D37F">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（47）</w:t>
            </w:r>
          </w:p>
        </w:tc>
        <w:tc>
          <w:tcPr>
            <w:tcW w:w="1315" w:type="pct"/>
            <w:shd w:val="clear" w:color="auto" w:fill="auto"/>
            <w:vAlign w:val="top"/>
          </w:tcPr>
          <w:p w14:paraId="11EBDE6D">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+DCD+活性炭</w:t>
            </w:r>
          </w:p>
        </w:tc>
        <w:tc>
          <w:tcPr>
            <w:tcW w:w="2054" w:type="pct"/>
            <w:shd w:val="clear" w:color="auto" w:fill="auto"/>
            <w:vAlign w:val="top"/>
          </w:tcPr>
          <w:p w14:paraId="52FA7A18">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41223快速比色法</w:t>
            </w:r>
          </w:p>
        </w:tc>
        <w:tc>
          <w:tcPr>
            <w:tcW w:w="723" w:type="pct"/>
            <w:vAlign w:val="top"/>
          </w:tcPr>
          <w:p w14:paraId="56BAC3AC">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6.96</w:t>
            </w:r>
          </w:p>
        </w:tc>
      </w:tr>
      <w:tr w14:paraId="1920C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shd w:val="clear" w:color="auto" w:fill="auto"/>
            <w:vAlign w:val="top"/>
          </w:tcPr>
          <w:p w14:paraId="77B77176">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（16）</w:t>
            </w:r>
          </w:p>
        </w:tc>
        <w:tc>
          <w:tcPr>
            <w:tcW w:w="1315" w:type="pct"/>
            <w:shd w:val="clear" w:color="auto" w:fill="auto"/>
            <w:vAlign w:val="top"/>
          </w:tcPr>
          <w:p w14:paraId="06B84F5B">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p>
        </w:tc>
        <w:tc>
          <w:tcPr>
            <w:tcW w:w="2054" w:type="pct"/>
            <w:shd w:val="clear" w:color="auto" w:fill="auto"/>
            <w:vAlign w:val="top"/>
          </w:tcPr>
          <w:p w14:paraId="1C4B0BBD">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42485比色法</w:t>
            </w:r>
          </w:p>
        </w:tc>
        <w:tc>
          <w:tcPr>
            <w:tcW w:w="723" w:type="pct"/>
            <w:vAlign w:val="top"/>
          </w:tcPr>
          <w:p w14:paraId="7206D894">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-4.51</w:t>
            </w:r>
          </w:p>
        </w:tc>
      </w:tr>
      <w:tr w14:paraId="6F11B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shd w:val="clear" w:color="auto" w:fill="auto"/>
            <w:vAlign w:val="top"/>
          </w:tcPr>
          <w:p w14:paraId="69AFE63E">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（16）</w:t>
            </w:r>
          </w:p>
        </w:tc>
        <w:tc>
          <w:tcPr>
            <w:tcW w:w="1315" w:type="pct"/>
            <w:shd w:val="clear" w:color="auto" w:fill="auto"/>
            <w:vAlign w:val="top"/>
          </w:tcPr>
          <w:p w14:paraId="02BB921F">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+DCD</w:t>
            </w:r>
          </w:p>
        </w:tc>
        <w:tc>
          <w:tcPr>
            <w:tcW w:w="2054" w:type="pct"/>
            <w:shd w:val="clear" w:color="auto" w:fill="auto"/>
            <w:vAlign w:val="top"/>
          </w:tcPr>
          <w:p w14:paraId="34A00C9E">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42485比色法</w:t>
            </w:r>
          </w:p>
        </w:tc>
        <w:tc>
          <w:tcPr>
            <w:tcW w:w="723" w:type="pct"/>
            <w:vAlign w:val="top"/>
          </w:tcPr>
          <w:p w14:paraId="5CEA9904">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3.01</w:t>
            </w:r>
          </w:p>
        </w:tc>
      </w:tr>
      <w:tr w14:paraId="4A5B2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shd w:val="clear" w:color="auto" w:fill="auto"/>
            <w:vAlign w:val="top"/>
          </w:tcPr>
          <w:p w14:paraId="2F067DB8">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（16）</w:t>
            </w:r>
          </w:p>
        </w:tc>
        <w:tc>
          <w:tcPr>
            <w:tcW w:w="1315" w:type="pct"/>
            <w:shd w:val="clear" w:color="auto" w:fill="auto"/>
            <w:vAlign w:val="top"/>
          </w:tcPr>
          <w:p w14:paraId="191BB041">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+活性炭</w:t>
            </w:r>
          </w:p>
        </w:tc>
        <w:tc>
          <w:tcPr>
            <w:tcW w:w="2054" w:type="pct"/>
            <w:shd w:val="clear" w:color="auto" w:fill="auto"/>
            <w:vAlign w:val="top"/>
          </w:tcPr>
          <w:p w14:paraId="352C9D0A">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42485比色法</w:t>
            </w:r>
          </w:p>
        </w:tc>
        <w:tc>
          <w:tcPr>
            <w:tcW w:w="723" w:type="pct"/>
            <w:vAlign w:val="top"/>
          </w:tcPr>
          <w:p w14:paraId="585F31BF">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-1.84</w:t>
            </w:r>
          </w:p>
        </w:tc>
      </w:tr>
      <w:tr w14:paraId="34B39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shd w:val="clear" w:color="auto" w:fill="auto"/>
            <w:vAlign w:val="top"/>
          </w:tcPr>
          <w:p w14:paraId="1B336654">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（16）</w:t>
            </w:r>
          </w:p>
        </w:tc>
        <w:tc>
          <w:tcPr>
            <w:tcW w:w="1315" w:type="pct"/>
            <w:shd w:val="clear" w:color="auto" w:fill="auto"/>
            <w:vAlign w:val="top"/>
          </w:tcPr>
          <w:p w14:paraId="79C2E0AE">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+DCD+活性炭</w:t>
            </w:r>
          </w:p>
        </w:tc>
        <w:tc>
          <w:tcPr>
            <w:tcW w:w="2054" w:type="pct"/>
            <w:shd w:val="clear" w:color="auto" w:fill="auto"/>
            <w:vAlign w:val="top"/>
          </w:tcPr>
          <w:p w14:paraId="4722E26D">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42485比色法</w:t>
            </w:r>
          </w:p>
        </w:tc>
        <w:tc>
          <w:tcPr>
            <w:tcW w:w="723" w:type="pct"/>
            <w:vAlign w:val="top"/>
          </w:tcPr>
          <w:p w14:paraId="5D815B49">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3.68</w:t>
            </w:r>
          </w:p>
        </w:tc>
      </w:tr>
      <w:tr w14:paraId="12CFD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shd w:val="clear" w:color="auto" w:fill="auto"/>
            <w:vAlign w:val="top"/>
          </w:tcPr>
          <w:p w14:paraId="0D129792">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（47）</w:t>
            </w:r>
          </w:p>
        </w:tc>
        <w:tc>
          <w:tcPr>
            <w:tcW w:w="1315" w:type="pct"/>
            <w:shd w:val="clear" w:color="auto" w:fill="auto"/>
            <w:vAlign w:val="top"/>
          </w:tcPr>
          <w:p w14:paraId="33358A85">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p>
        </w:tc>
        <w:tc>
          <w:tcPr>
            <w:tcW w:w="2054" w:type="pct"/>
            <w:shd w:val="clear" w:color="auto" w:fill="auto"/>
            <w:vAlign w:val="top"/>
          </w:tcPr>
          <w:p w14:paraId="321232FC">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42485比色法</w:t>
            </w:r>
          </w:p>
        </w:tc>
        <w:tc>
          <w:tcPr>
            <w:tcW w:w="723" w:type="pct"/>
            <w:vAlign w:val="top"/>
          </w:tcPr>
          <w:p w14:paraId="2A769BC9">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0.26</w:t>
            </w:r>
          </w:p>
        </w:tc>
      </w:tr>
      <w:tr w14:paraId="3D44D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shd w:val="clear" w:color="auto" w:fill="auto"/>
            <w:vAlign w:val="top"/>
          </w:tcPr>
          <w:p w14:paraId="180FCEFB">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（47）</w:t>
            </w:r>
          </w:p>
        </w:tc>
        <w:tc>
          <w:tcPr>
            <w:tcW w:w="1315" w:type="pct"/>
            <w:shd w:val="clear" w:color="auto" w:fill="auto"/>
            <w:vAlign w:val="top"/>
          </w:tcPr>
          <w:p w14:paraId="12350274">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+DCD</w:t>
            </w:r>
          </w:p>
        </w:tc>
        <w:tc>
          <w:tcPr>
            <w:tcW w:w="2054" w:type="pct"/>
            <w:shd w:val="clear" w:color="auto" w:fill="auto"/>
            <w:vAlign w:val="top"/>
          </w:tcPr>
          <w:p w14:paraId="01C55CDD">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42485比色法</w:t>
            </w:r>
          </w:p>
        </w:tc>
        <w:tc>
          <w:tcPr>
            <w:tcW w:w="723" w:type="pct"/>
            <w:vAlign w:val="top"/>
          </w:tcPr>
          <w:p w14:paraId="36CCA856">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-3.07</w:t>
            </w:r>
          </w:p>
        </w:tc>
      </w:tr>
      <w:tr w14:paraId="13449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shd w:val="clear" w:color="auto" w:fill="auto"/>
            <w:vAlign w:val="top"/>
          </w:tcPr>
          <w:p w14:paraId="616614F1">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（47）</w:t>
            </w:r>
          </w:p>
        </w:tc>
        <w:tc>
          <w:tcPr>
            <w:tcW w:w="1315" w:type="pct"/>
            <w:shd w:val="clear" w:color="auto" w:fill="auto"/>
            <w:vAlign w:val="top"/>
          </w:tcPr>
          <w:p w14:paraId="773F829F">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+活性炭</w:t>
            </w:r>
          </w:p>
        </w:tc>
        <w:tc>
          <w:tcPr>
            <w:tcW w:w="2054" w:type="pct"/>
            <w:shd w:val="clear" w:color="auto" w:fill="auto"/>
            <w:vAlign w:val="top"/>
          </w:tcPr>
          <w:p w14:paraId="3EDEB0D9">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42485比色法</w:t>
            </w:r>
          </w:p>
        </w:tc>
        <w:tc>
          <w:tcPr>
            <w:tcW w:w="723" w:type="pct"/>
            <w:vAlign w:val="top"/>
          </w:tcPr>
          <w:p w14:paraId="5376C28F">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-4.36</w:t>
            </w:r>
          </w:p>
        </w:tc>
      </w:tr>
      <w:tr w14:paraId="0A471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shd w:val="clear" w:color="auto" w:fill="auto"/>
            <w:vAlign w:val="top"/>
          </w:tcPr>
          <w:p w14:paraId="21F7796F">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（47）</w:t>
            </w:r>
          </w:p>
        </w:tc>
        <w:tc>
          <w:tcPr>
            <w:tcW w:w="1315" w:type="pct"/>
            <w:shd w:val="clear" w:color="auto" w:fill="auto"/>
            <w:vAlign w:val="top"/>
          </w:tcPr>
          <w:p w14:paraId="6B4B145B">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+DCD+活性炭</w:t>
            </w:r>
          </w:p>
        </w:tc>
        <w:tc>
          <w:tcPr>
            <w:tcW w:w="2054" w:type="pct"/>
            <w:shd w:val="clear" w:color="auto" w:fill="auto"/>
            <w:vAlign w:val="top"/>
          </w:tcPr>
          <w:p w14:paraId="19CF46CF">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42485比色法</w:t>
            </w:r>
          </w:p>
        </w:tc>
        <w:tc>
          <w:tcPr>
            <w:tcW w:w="723" w:type="pct"/>
            <w:vAlign w:val="top"/>
          </w:tcPr>
          <w:p w14:paraId="39A47E01">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-0.77</w:t>
            </w:r>
          </w:p>
        </w:tc>
      </w:tr>
      <w:tr w14:paraId="6485E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shd w:val="clear" w:color="auto" w:fill="auto"/>
            <w:vAlign w:val="top"/>
          </w:tcPr>
          <w:p w14:paraId="6CA09116">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（45）</w:t>
            </w:r>
          </w:p>
        </w:tc>
        <w:tc>
          <w:tcPr>
            <w:tcW w:w="1315" w:type="pct"/>
            <w:shd w:val="clear" w:color="auto" w:fill="auto"/>
            <w:vAlign w:val="top"/>
          </w:tcPr>
          <w:p w14:paraId="70443241">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p>
        </w:tc>
        <w:tc>
          <w:tcPr>
            <w:tcW w:w="2054" w:type="pct"/>
            <w:shd w:val="clear" w:color="auto" w:fill="auto"/>
            <w:vAlign w:val="top"/>
          </w:tcPr>
          <w:p w14:paraId="0A5C0746">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41223快速比色法</w:t>
            </w:r>
          </w:p>
        </w:tc>
        <w:tc>
          <w:tcPr>
            <w:tcW w:w="723" w:type="pct"/>
            <w:vAlign w:val="top"/>
          </w:tcPr>
          <w:p w14:paraId="0ACE3662">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-9.03</w:t>
            </w:r>
          </w:p>
        </w:tc>
      </w:tr>
      <w:tr w14:paraId="07486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shd w:val="clear" w:color="auto" w:fill="auto"/>
            <w:vAlign w:val="top"/>
          </w:tcPr>
          <w:p w14:paraId="5936982B">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（45）</w:t>
            </w:r>
          </w:p>
        </w:tc>
        <w:tc>
          <w:tcPr>
            <w:tcW w:w="1315" w:type="pct"/>
            <w:shd w:val="clear" w:color="auto" w:fill="auto"/>
            <w:vAlign w:val="top"/>
          </w:tcPr>
          <w:p w14:paraId="4DA81B47">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+DCD</w:t>
            </w:r>
          </w:p>
        </w:tc>
        <w:tc>
          <w:tcPr>
            <w:tcW w:w="2054" w:type="pct"/>
            <w:shd w:val="clear" w:color="auto" w:fill="auto"/>
            <w:vAlign w:val="top"/>
          </w:tcPr>
          <w:p w14:paraId="3105E632">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41223快速比色法</w:t>
            </w:r>
          </w:p>
        </w:tc>
        <w:tc>
          <w:tcPr>
            <w:tcW w:w="723" w:type="pct"/>
            <w:vAlign w:val="top"/>
          </w:tcPr>
          <w:p w14:paraId="01110EDC">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-4.99</w:t>
            </w:r>
          </w:p>
        </w:tc>
      </w:tr>
      <w:tr w14:paraId="3E81A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shd w:val="clear" w:color="auto" w:fill="auto"/>
            <w:vAlign w:val="top"/>
          </w:tcPr>
          <w:p w14:paraId="1D99E879">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（45）</w:t>
            </w:r>
          </w:p>
        </w:tc>
        <w:tc>
          <w:tcPr>
            <w:tcW w:w="1315" w:type="pct"/>
            <w:shd w:val="clear" w:color="auto" w:fill="auto"/>
            <w:vAlign w:val="top"/>
          </w:tcPr>
          <w:p w14:paraId="1C24543D">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+活性炭</w:t>
            </w:r>
          </w:p>
        </w:tc>
        <w:tc>
          <w:tcPr>
            <w:tcW w:w="2054" w:type="pct"/>
            <w:shd w:val="clear" w:color="auto" w:fill="auto"/>
            <w:vAlign w:val="top"/>
          </w:tcPr>
          <w:p w14:paraId="3BF0FF08">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41223快速比色法</w:t>
            </w:r>
          </w:p>
        </w:tc>
        <w:tc>
          <w:tcPr>
            <w:tcW w:w="723" w:type="pct"/>
            <w:vAlign w:val="top"/>
          </w:tcPr>
          <w:p w14:paraId="21E59C96">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-4.23</w:t>
            </w:r>
          </w:p>
        </w:tc>
      </w:tr>
      <w:tr w14:paraId="09BC8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shd w:val="clear" w:color="auto" w:fill="auto"/>
            <w:vAlign w:val="top"/>
          </w:tcPr>
          <w:p w14:paraId="5B61E2EE">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（45）</w:t>
            </w:r>
          </w:p>
        </w:tc>
        <w:tc>
          <w:tcPr>
            <w:tcW w:w="1315" w:type="pct"/>
            <w:shd w:val="clear" w:color="auto" w:fill="auto"/>
            <w:vAlign w:val="top"/>
          </w:tcPr>
          <w:p w14:paraId="727FA55A">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+DCD+活性炭</w:t>
            </w:r>
          </w:p>
        </w:tc>
        <w:tc>
          <w:tcPr>
            <w:tcW w:w="2054" w:type="pct"/>
            <w:shd w:val="clear" w:color="auto" w:fill="auto"/>
            <w:vAlign w:val="top"/>
          </w:tcPr>
          <w:p w14:paraId="0EE167FC">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41223快速比色法</w:t>
            </w:r>
          </w:p>
        </w:tc>
        <w:tc>
          <w:tcPr>
            <w:tcW w:w="723" w:type="pct"/>
            <w:vAlign w:val="top"/>
          </w:tcPr>
          <w:p w14:paraId="09401925">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-1.15</w:t>
            </w:r>
          </w:p>
        </w:tc>
      </w:tr>
      <w:tr w14:paraId="6B2BD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shd w:val="clear" w:color="auto" w:fill="auto"/>
            <w:vAlign w:val="top"/>
          </w:tcPr>
          <w:p w14:paraId="3A359FE3">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（45）</w:t>
            </w:r>
          </w:p>
        </w:tc>
        <w:tc>
          <w:tcPr>
            <w:tcW w:w="1315" w:type="pct"/>
            <w:shd w:val="clear" w:color="auto" w:fill="auto"/>
            <w:vAlign w:val="top"/>
          </w:tcPr>
          <w:p w14:paraId="52E0908B">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p>
        </w:tc>
        <w:tc>
          <w:tcPr>
            <w:tcW w:w="2054" w:type="pct"/>
            <w:shd w:val="clear" w:color="auto" w:fill="auto"/>
            <w:vAlign w:val="top"/>
          </w:tcPr>
          <w:p w14:paraId="4E2494B5">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42485比色法</w:t>
            </w:r>
          </w:p>
        </w:tc>
        <w:tc>
          <w:tcPr>
            <w:tcW w:w="723" w:type="pct"/>
            <w:vAlign w:val="top"/>
          </w:tcPr>
          <w:p w14:paraId="1110449B">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-27.27</w:t>
            </w:r>
          </w:p>
        </w:tc>
      </w:tr>
      <w:tr w14:paraId="2FB61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shd w:val="clear" w:color="auto" w:fill="auto"/>
            <w:vAlign w:val="top"/>
          </w:tcPr>
          <w:p w14:paraId="6FEC4727">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（45）</w:t>
            </w:r>
          </w:p>
        </w:tc>
        <w:tc>
          <w:tcPr>
            <w:tcW w:w="1315" w:type="pct"/>
            <w:shd w:val="clear" w:color="auto" w:fill="auto"/>
            <w:vAlign w:val="top"/>
          </w:tcPr>
          <w:p w14:paraId="5BDA4C0B">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+DCD</w:t>
            </w:r>
          </w:p>
        </w:tc>
        <w:tc>
          <w:tcPr>
            <w:tcW w:w="2054" w:type="pct"/>
            <w:shd w:val="clear" w:color="auto" w:fill="auto"/>
            <w:vAlign w:val="top"/>
          </w:tcPr>
          <w:p w14:paraId="5D9FAAD8">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42485比色法</w:t>
            </w:r>
          </w:p>
        </w:tc>
        <w:tc>
          <w:tcPr>
            <w:tcW w:w="723" w:type="pct"/>
            <w:vAlign w:val="top"/>
          </w:tcPr>
          <w:p w14:paraId="306CABCB">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-20.08</w:t>
            </w:r>
          </w:p>
        </w:tc>
      </w:tr>
      <w:tr w14:paraId="09801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shd w:val="clear" w:color="auto" w:fill="auto"/>
            <w:vAlign w:val="top"/>
          </w:tcPr>
          <w:p w14:paraId="23EBDD0B">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（45）</w:t>
            </w:r>
          </w:p>
        </w:tc>
        <w:tc>
          <w:tcPr>
            <w:tcW w:w="1315" w:type="pct"/>
            <w:shd w:val="clear" w:color="auto" w:fill="auto"/>
            <w:vAlign w:val="top"/>
          </w:tcPr>
          <w:p w14:paraId="0781F018">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+活性炭</w:t>
            </w:r>
          </w:p>
        </w:tc>
        <w:tc>
          <w:tcPr>
            <w:tcW w:w="2054" w:type="pct"/>
            <w:shd w:val="clear" w:color="auto" w:fill="auto"/>
            <w:vAlign w:val="top"/>
          </w:tcPr>
          <w:p w14:paraId="4EFB2153">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42485比色法</w:t>
            </w:r>
          </w:p>
        </w:tc>
        <w:tc>
          <w:tcPr>
            <w:tcW w:w="723" w:type="pct"/>
            <w:vAlign w:val="top"/>
          </w:tcPr>
          <w:p w14:paraId="3FA5CFD5">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-4.11</w:t>
            </w:r>
          </w:p>
        </w:tc>
      </w:tr>
      <w:tr w14:paraId="0F8D3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pct"/>
            <w:shd w:val="clear" w:color="auto" w:fill="auto"/>
            <w:vAlign w:val="top"/>
          </w:tcPr>
          <w:p w14:paraId="027BD054">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（45）</w:t>
            </w:r>
          </w:p>
        </w:tc>
        <w:tc>
          <w:tcPr>
            <w:tcW w:w="1315" w:type="pct"/>
            <w:shd w:val="clear" w:color="auto" w:fill="auto"/>
            <w:vAlign w:val="top"/>
          </w:tcPr>
          <w:p w14:paraId="2C1161E4">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+DCD+活性炭</w:t>
            </w:r>
          </w:p>
        </w:tc>
        <w:tc>
          <w:tcPr>
            <w:tcW w:w="2054" w:type="pct"/>
            <w:shd w:val="clear" w:color="auto" w:fill="auto"/>
            <w:vAlign w:val="top"/>
          </w:tcPr>
          <w:p w14:paraId="6C0CEDA1">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GB/T 42485比色法</w:t>
            </w:r>
          </w:p>
        </w:tc>
        <w:tc>
          <w:tcPr>
            <w:tcW w:w="723" w:type="pct"/>
            <w:vAlign w:val="top"/>
          </w:tcPr>
          <w:p w14:paraId="15083DB8">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2"/>
                <w:szCs w:val="22"/>
                <w:vertAlign w:val="baseline"/>
                <w:lang w:val="en-US" w:eastAsia="zh-CN" w:bidi="ar-SA"/>
              </w:rPr>
            </w:pPr>
            <w:r>
              <w:rPr>
                <w:rFonts w:hint="eastAsia" w:ascii="Times New Roman" w:hAnsi="Times New Roman" w:eastAsia="宋体" w:cs="Times New Roman"/>
                <w:kern w:val="2"/>
                <w:sz w:val="22"/>
                <w:szCs w:val="22"/>
                <w:vertAlign w:val="baseline"/>
                <w:lang w:val="en-US" w:eastAsia="zh-CN" w:bidi="ar-SA"/>
              </w:rPr>
              <w:t>2.64</w:t>
            </w:r>
          </w:p>
        </w:tc>
      </w:tr>
    </w:tbl>
    <w:p w14:paraId="58684DF7">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lang w:val="en-US" w:eastAsia="zh-CN" w:bidi="ar-SA"/>
        </w:rPr>
      </w:pPr>
    </w:p>
    <w:p w14:paraId="6CE45BF0">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 xml:space="preserve">5.2.3 </w:t>
      </w:r>
      <w:r>
        <w:rPr>
          <w:rFonts w:hint="eastAsia" w:ascii="Times New Roman" w:hAnsi="Times New Roman" w:eastAsia="宋体" w:cs="Times New Roman"/>
          <w:kern w:val="2"/>
          <w:sz w:val="24"/>
          <w:szCs w:val="24"/>
          <w:highlight w:val="none"/>
          <w:lang w:val="en-US" w:eastAsia="zh-CN" w:bidi="ar-SA"/>
        </w:rPr>
        <w:t>培养时间、缩二脲、土壤氮</w:t>
      </w:r>
      <w:r>
        <w:rPr>
          <w:rFonts w:hint="eastAsia" w:ascii="Times New Roman" w:hAnsi="Times New Roman" w:eastAsia="宋体" w:cs="Times New Roman"/>
          <w:kern w:val="2"/>
          <w:sz w:val="24"/>
          <w:szCs w:val="24"/>
          <w:lang w:val="en-US" w:eastAsia="zh-CN" w:bidi="ar-SA"/>
        </w:rPr>
        <w:t>对土壤硝化潜势的影响</w:t>
      </w:r>
    </w:p>
    <w:p w14:paraId="1D0A088A">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000FF"/>
          <w:kern w:val="2"/>
          <w:sz w:val="24"/>
          <w:szCs w:val="24"/>
          <w:vertAlign w:val="baseline"/>
          <w:lang w:val="en-US" w:eastAsia="zh-CN" w:bidi="ar-SA"/>
        </w:rPr>
      </w:pPr>
      <w:r>
        <w:rPr>
          <w:rFonts w:hint="eastAsia" w:ascii="Times New Roman" w:hAnsi="Times New Roman" w:eastAsia="宋体" w:cs="Times New Roman"/>
          <w:kern w:val="2"/>
          <w:sz w:val="24"/>
          <w:szCs w:val="24"/>
          <w:lang w:val="en-US" w:eastAsia="zh-CN" w:bidi="ar-SA"/>
        </w:rPr>
        <w:t>45号样品在不同培养时间相较对照1和对照2 的硝化潜势差异率（</w:t>
      </w:r>
      <w:r>
        <w:rPr>
          <w:rFonts w:hint="eastAsia" w:ascii="Times New Roman" w:hAnsi="Times New Roman" w:eastAsia="宋体" w:cs="Times New Roman"/>
          <w:kern w:val="2"/>
          <w:sz w:val="24"/>
          <w:szCs w:val="24"/>
          <w:vertAlign w:val="baseline"/>
          <w:lang w:val="en-US" w:eastAsia="zh-CN" w:bidi="ar-SA"/>
        </w:rPr>
        <w:t xml:space="preserve">RNP </w:t>
      </w:r>
      <w:r>
        <w:rPr>
          <w:rFonts w:hint="eastAsia" w:ascii="Times New Roman" w:hAnsi="Times New Roman" w:eastAsia="宋体" w:cs="Times New Roman"/>
          <w:kern w:val="2"/>
          <w:sz w:val="24"/>
          <w:szCs w:val="24"/>
          <w:lang w:val="en-US" w:eastAsia="zh-CN" w:bidi="ar-SA"/>
        </w:rPr>
        <w:t>）结果见表15。</w:t>
      </w:r>
      <w:r>
        <w:rPr>
          <w:rFonts w:hint="eastAsia" w:ascii="Times New Roman" w:hAnsi="Times New Roman" w:eastAsia="宋体" w:cs="Times New Roman"/>
          <w:color w:val="auto"/>
          <w:kern w:val="2"/>
          <w:sz w:val="24"/>
          <w:szCs w:val="24"/>
          <w:vertAlign w:val="baseline"/>
          <w:lang w:val="en-US" w:eastAsia="zh-CN" w:bidi="ar-SA"/>
        </w:rPr>
        <w:t>对照1是按照测定总氮配置，由尿素和氯铵组成；对照2是根据测定总氮配置，由尿素、氯铵、缩二脲组成。</w:t>
      </w:r>
    </w:p>
    <w:p w14:paraId="11800524">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kern w:val="2"/>
          <w:sz w:val="24"/>
          <w:szCs w:val="24"/>
          <w:vertAlign w:val="baseline"/>
          <w:lang w:val="en-US" w:eastAsia="zh-CN" w:bidi="ar-SA"/>
        </w:rPr>
      </w:pPr>
      <w:r>
        <w:rPr>
          <w:rFonts w:hint="default" w:ascii="Times New Roman" w:hAnsi="Times New Roman" w:eastAsia="宋体" w:cs="Times New Roman"/>
          <w:color w:val="auto"/>
          <w:kern w:val="2"/>
          <w:sz w:val="24"/>
          <w:szCs w:val="24"/>
          <w:vertAlign w:val="baseline"/>
          <w:lang w:val="en-US" w:eastAsia="zh-CN" w:bidi="ar-SA"/>
        </w:rPr>
        <w:t>根据</w:t>
      </w:r>
      <w:r>
        <w:rPr>
          <w:rFonts w:hint="eastAsia" w:ascii="Times New Roman" w:hAnsi="Times New Roman" w:eastAsia="宋体" w:cs="Times New Roman"/>
          <w:color w:val="auto"/>
          <w:kern w:val="2"/>
          <w:sz w:val="24"/>
          <w:szCs w:val="24"/>
          <w:vertAlign w:val="baseline"/>
          <w:lang w:val="en-US" w:eastAsia="zh-CN" w:bidi="ar-SA"/>
        </w:rPr>
        <w:t>表16展示的</w:t>
      </w:r>
      <w:r>
        <w:rPr>
          <w:rFonts w:hint="default" w:ascii="Times New Roman" w:hAnsi="Times New Roman" w:eastAsia="宋体" w:cs="Times New Roman"/>
          <w:color w:val="auto"/>
          <w:kern w:val="2"/>
          <w:sz w:val="24"/>
          <w:szCs w:val="24"/>
          <w:vertAlign w:val="baseline"/>
          <w:lang w:val="en-US" w:eastAsia="zh-CN" w:bidi="ar-SA"/>
        </w:rPr>
        <w:t>结果判断，未减空白介质吸光值：1h、2h都可作为被减数，1h更好，2h的抑制率差异不明显，6小时以上都可作为减数；对照2比对照1（未区分缩二脲）更好；对照2，7-2更好</w:t>
      </w:r>
      <w:r>
        <w:rPr>
          <w:rFonts w:hint="eastAsia" w:ascii="Times New Roman" w:hAnsi="Times New Roman" w:eastAsia="宋体" w:cs="Times New Roman"/>
          <w:color w:val="auto"/>
          <w:kern w:val="2"/>
          <w:sz w:val="24"/>
          <w:szCs w:val="24"/>
          <w:vertAlign w:val="baseline"/>
          <w:lang w:val="en-US" w:eastAsia="zh-CN" w:bidi="ar-SA"/>
        </w:rPr>
        <w:t>。</w:t>
      </w:r>
      <w:r>
        <w:rPr>
          <w:rFonts w:hint="default" w:ascii="Times New Roman" w:hAnsi="Times New Roman" w:eastAsia="宋体" w:cs="Times New Roman"/>
          <w:color w:val="auto"/>
          <w:kern w:val="2"/>
          <w:sz w:val="24"/>
          <w:szCs w:val="24"/>
          <w:vertAlign w:val="baseline"/>
          <w:lang w:val="en-US" w:eastAsia="zh-CN" w:bidi="ar-SA"/>
        </w:rPr>
        <w:t>减空白介质溶液吸光值：1h、2h都可作为被减数，6小时以上都可作为减数；对照1和对照2均可；对照2更好，7-2更好</w:t>
      </w:r>
      <w:r>
        <w:rPr>
          <w:rFonts w:hint="eastAsia" w:ascii="Times New Roman" w:hAnsi="Times New Roman" w:eastAsia="宋体" w:cs="Times New Roman"/>
          <w:color w:val="auto"/>
          <w:kern w:val="2"/>
          <w:sz w:val="24"/>
          <w:szCs w:val="24"/>
          <w:vertAlign w:val="baseline"/>
          <w:lang w:val="en-US" w:eastAsia="zh-CN" w:bidi="ar-SA"/>
        </w:rPr>
        <w:t>。</w:t>
      </w:r>
      <w:r>
        <w:rPr>
          <w:rFonts w:hint="default" w:ascii="Times New Roman" w:hAnsi="Times New Roman" w:eastAsia="宋体" w:cs="Times New Roman"/>
          <w:color w:val="auto"/>
          <w:kern w:val="2"/>
          <w:sz w:val="24"/>
          <w:szCs w:val="24"/>
          <w:vertAlign w:val="baseline"/>
          <w:lang w:val="en-US" w:eastAsia="zh-CN" w:bidi="ar-SA"/>
        </w:rPr>
        <w:t>不减介质溶液空白时，对照1根本不行，对照2稍微有点差异，差异不大；减介质溶液空白时，对照2比对照1好，加活性炭时7-2和6-2均可，不加活性碳时7-2效果更佳</w:t>
      </w:r>
      <w:r>
        <w:rPr>
          <w:rFonts w:hint="eastAsia" w:ascii="Times New Roman" w:hAnsi="Times New Roman" w:eastAsia="宋体" w:cs="Times New Roman"/>
          <w:color w:val="auto"/>
          <w:kern w:val="2"/>
          <w:sz w:val="24"/>
          <w:szCs w:val="24"/>
          <w:vertAlign w:val="baseline"/>
          <w:lang w:val="en-US" w:eastAsia="zh-CN" w:bidi="ar-SA"/>
        </w:rPr>
        <w:t>。总之，</w:t>
      </w:r>
      <w:r>
        <w:rPr>
          <w:rFonts w:hint="default" w:ascii="Times New Roman" w:hAnsi="Times New Roman" w:eastAsia="宋体" w:cs="Times New Roman"/>
          <w:color w:val="auto"/>
          <w:kern w:val="2"/>
          <w:sz w:val="24"/>
          <w:szCs w:val="24"/>
          <w:vertAlign w:val="baseline"/>
          <w:lang w:val="en-US" w:eastAsia="zh-CN" w:bidi="ar-SA"/>
        </w:rPr>
        <w:t>6小时及以上时间培养减去2、3、4、5小时培养均能产生</w:t>
      </w:r>
      <w:r>
        <w:rPr>
          <w:rFonts w:hint="eastAsia" w:ascii="Times New Roman" w:hAnsi="Times New Roman" w:eastAsia="宋体" w:cs="Times New Roman"/>
          <w:color w:val="auto"/>
          <w:kern w:val="2"/>
          <w:sz w:val="24"/>
          <w:szCs w:val="24"/>
          <w:vertAlign w:val="baseline"/>
          <w:lang w:val="en-US" w:eastAsia="zh-CN" w:bidi="ar-SA"/>
        </w:rPr>
        <w:t>明显</w:t>
      </w:r>
      <w:r>
        <w:rPr>
          <w:rFonts w:hint="default" w:ascii="Times New Roman" w:hAnsi="Times New Roman" w:eastAsia="宋体" w:cs="Times New Roman"/>
          <w:color w:val="auto"/>
          <w:kern w:val="2"/>
          <w:sz w:val="24"/>
          <w:szCs w:val="24"/>
          <w:vertAlign w:val="baseline"/>
          <w:lang w:val="en-US" w:eastAsia="zh-CN" w:bidi="ar-SA"/>
        </w:rPr>
        <w:t>的抑制率；选择2小时</w:t>
      </w:r>
      <w:r>
        <w:rPr>
          <w:rFonts w:hint="eastAsia" w:ascii="Times New Roman" w:hAnsi="Times New Roman" w:eastAsia="宋体" w:cs="Times New Roman"/>
          <w:color w:val="auto"/>
          <w:kern w:val="2"/>
          <w:sz w:val="24"/>
          <w:szCs w:val="24"/>
          <w:vertAlign w:val="baseline"/>
          <w:lang w:val="en-US" w:eastAsia="zh-CN" w:bidi="ar-SA"/>
        </w:rPr>
        <w:t>培养时间作为</w:t>
      </w:r>
      <w:r>
        <w:rPr>
          <w:rFonts w:hint="default" w:ascii="Times New Roman" w:hAnsi="Times New Roman" w:eastAsia="宋体" w:cs="Times New Roman"/>
          <w:color w:val="auto"/>
          <w:kern w:val="2"/>
          <w:sz w:val="24"/>
          <w:szCs w:val="24"/>
          <w:vertAlign w:val="baseline"/>
          <w:lang w:val="en-US" w:eastAsia="zh-CN" w:bidi="ar-SA"/>
        </w:rPr>
        <w:t>计算时间</w:t>
      </w:r>
      <w:r>
        <w:rPr>
          <w:rFonts w:hint="eastAsia" w:ascii="Times New Roman" w:hAnsi="Times New Roman" w:eastAsia="宋体" w:cs="Times New Roman"/>
          <w:color w:val="auto"/>
          <w:kern w:val="2"/>
          <w:sz w:val="24"/>
          <w:szCs w:val="24"/>
          <w:vertAlign w:val="baseline"/>
          <w:lang w:val="en-US" w:eastAsia="zh-CN" w:bidi="ar-SA"/>
        </w:rPr>
        <w:t>基础点，是</w:t>
      </w:r>
      <w:r>
        <w:rPr>
          <w:rFonts w:hint="default" w:ascii="Times New Roman" w:hAnsi="Times New Roman" w:eastAsia="宋体" w:cs="Times New Roman"/>
          <w:color w:val="auto"/>
          <w:kern w:val="2"/>
          <w:sz w:val="24"/>
          <w:szCs w:val="24"/>
          <w:vertAlign w:val="baseline"/>
          <w:lang w:val="en-US" w:eastAsia="zh-CN" w:bidi="ar-SA"/>
        </w:rPr>
        <w:t>因为3</w:t>
      </w:r>
      <w:r>
        <w:rPr>
          <w:rFonts w:hint="eastAsia" w:ascii="Times New Roman" w:hAnsi="Times New Roman" w:eastAsia="宋体" w:cs="Times New Roman"/>
          <w:color w:val="auto"/>
          <w:kern w:val="2"/>
          <w:sz w:val="24"/>
          <w:szCs w:val="24"/>
          <w:vertAlign w:val="baseline"/>
          <w:lang w:val="en-US" w:eastAsia="zh-CN" w:bidi="ar-SA"/>
        </w:rPr>
        <w:t>、</w:t>
      </w:r>
      <w:r>
        <w:rPr>
          <w:rFonts w:hint="default" w:ascii="Times New Roman" w:hAnsi="Times New Roman" w:eastAsia="宋体" w:cs="Times New Roman"/>
          <w:color w:val="auto"/>
          <w:kern w:val="2"/>
          <w:sz w:val="24"/>
          <w:szCs w:val="24"/>
          <w:vertAlign w:val="baseline"/>
          <w:lang w:val="en-US" w:eastAsia="zh-CN" w:bidi="ar-SA"/>
        </w:rPr>
        <w:t>4</w:t>
      </w:r>
      <w:r>
        <w:rPr>
          <w:rFonts w:hint="eastAsia" w:ascii="Times New Roman" w:hAnsi="Times New Roman" w:eastAsia="宋体" w:cs="Times New Roman"/>
          <w:color w:val="auto"/>
          <w:kern w:val="2"/>
          <w:sz w:val="24"/>
          <w:szCs w:val="24"/>
          <w:vertAlign w:val="baseline"/>
          <w:lang w:val="en-US" w:eastAsia="zh-CN" w:bidi="ar-SA"/>
        </w:rPr>
        <w:t>、</w:t>
      </w:r>
      <w:r>
        <w:rPr>
          <w:rFonts w:hint="default" w:ascii="Times New Roman" w:hAnsi="Times New Roman" w:eastAsia="宋体" w:cs="Times New Roman"/>
          <w:color w:val="auto"/>
          <w:kern w:val="2"/>
          <w:sz w:val="24"/>
          <w:szCs w:val="24"/>
          <w:vertAlign w:val="baseline"/>
          <w:lang w:val="en-US" w:eastAsia="zh-CN" w:bidi="ar-SA"/>
        </w:rPr>
        <w:t>5小时的硝化速率较高，导致6</w:t>
      </w:r>
      <w:r>
        <w:rPr>
          <w:rFonts w:hint="eastAsia" w:ascii="Times New Roman" w:hAnsi="Times New Roman" w:eastAsia="宋体" w:cs="Times New Roman"/>
          <w:color w:val="auto"/>
          <w:kern w:val="2"/>
          <w:sz w:val="24"/>
          <w:szCs w:val="24"/>
          <w:vertAlign w:val="baseline"/>
          <w:lang w:val="en-US" w:eastAsia="zh-CN" w:bidi="ar-SA"/>
        </w:rPr>
        <w:t>、</w:t>
      </w:r>
      <w:r>
        <w:rPr>
          <w:rFonts w:hint="default" w:ascii="Times New Roman" w:hAnsi="Times New Roman" w:eastAsia="宋体" w:cs="Times New Roman"/>
          <w:color w:val="auto"/>
          <w:kern w:val="2"/>
          <w:sz w:val="24"/>
          <w:szCs w:val="24"/>
          <w:vertAlign w:val="baseline"/>
          <w:lang w:val="en-US" w:eastAsia="zh-CN" w:bidi="ar-SA"/>
        </w:rPr>
        <w:t>8</w:t>
      </w:r>
      <w:r>
        <w:rPr>
          <w:rFonts w:hint="eastAsia" w:ascii="Times New Roman" w:hAnsi="Times New Roman" w:eastAsia="宋体" w:cs="Times New Roman"/>
          <w:color w:val="auto"/>
          <w:kern w:val="2"/>
          <w:sz w:val="24"/>
          <w:szCs w:val="24"/>
          <w:vertAlign w:val="baseline"/>
          <w:lang w:val="en-US" w:eastAsia="zh-CN" w:bidi="ar-SA"/>
        </w:rPr>
        <w:t>、</w:t>
      </w:r>
      <w:r>
        <w:rPr>
          <w:rFonts w:hint="default" w:ascii="Times New Roman" w:hAnsi="Times New Roman" w:eastAsia="宋体" w:cs="Times New Roman"/>
          <w:color w:val="auto"/>
          <w:kern w:val="2"/>
          <w:sz w:val="24"/>
          <w:szCs w:val="24"/>
          <w:vertAlign w:val="baseline"/>
          <w:lang w:val="en-US" w:eastAsia="zh-CN" w:bidi="ar-SA"/>
        </w:rPr>
        <w:t>10小时的亚硝态氮含量显著低于3-5小时的，会导致差值是负的，从而导致计算结果是负的，实际上抑制率是正的</w:t>
      </w:r>
      <w:r>
        <w:rPr>
          <w:rFonts w:hint="eastAsia" w:ascii="Times New Roman" w:hAnsi="Times New Roman" w:eastAsia="宋体" w:cs="Times New Roman"/>
          <w:color w:val="auto"/>
          <w:kern w:val="2"/>
          <w:sz w:val="24"/>
          <w:szCs w:val="24"/>
          <w:vertAlign w:val="baseline"/>
          <w:lang w:val="en-US" w:eastAsia="zh-CN" w:bidi="ar-SA"/>
        </w:rPr>
        <w:t>。综上可知，</w:t>
      </w:r>
      <w:r>
        <w:rPr>
          <w:rFonts w:hint="default" w:ascii="Times New Roman" w:hAnsi="Times New Roman" w:eastAsia="宋体" w:cs="Times New Roman"/>
          <w:color w:val="auto"/>
          <w:kern w:val="2"/>
          <w:sz w:val="24"/>
          <w:szCs w:val="24"/>
          <w:vertAlign w:val="baseline"/>
          <w:lang w:val="en-US" w:eastAsia="zh-CN" w:bidi="ar-SA"/>
        </w:rPr>
        <w:t>6小时及以上培养时间减去2小时是最稳定的</w:t>
      </w:r>
      <w:r>
        <w:rPr>
          <w:rFonts w:hint="eastAsia" w:ascii="Times New Roman" w:hAnsi="Times New Roman" w:eastAsia="宋体" w:cs="Times New Roman"/>
          <w:color w:val="auto"/>
          <w:kern w:val="2"/>
          <w:sz w:val="24"/>
          <w:szCs w:val="24"/>
          <w:vertAlign w:val="baseline"/>
          <w:lang w:val="en-US" w:eastAsia="zh-CN" w:bidi="ar-SA"/>
        </w:rPr>
        <w:t>。</w:t>
      </w:r>
    </w:p>
    <w:p w14:paraId="125B5F16">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kern w:val="2"/>
          <w:sz w:val="24"/>
          <w:szCs w:val="24"/>
          <w:vertAlign w:val="baseline"/>
          <w:lang w:val="en-US" w:eastAsia="zh-CN" w:bidi="ar-SA"/>
        </w:rPr>
      </w:pPr>
      <w:r>
        <w:rPr>
          <w:rFonts w:hint="eastAsia" w:ascii="Times New Roman" w:hAnsi="Times New Roman" w:eastAsia="宋体" w:cs="Times New Roman"/>
          <w:b w:val="0"/>
          <w:bCs w:val="0"/>
          <w:color w:val="auto"/>
          <w:kern w:val="2"/>
          <w:sz w:val="24"/>
          <w:szCs w:val="24"/>
          <w:vertAlign w:val="baseline"/>
          <w:lang w:val="en-US" w:eastAsia="zh-CN" w:bidi="ar-SA"/>
        </w:rPr>
        <w:t>此外，通过对比</w:t>
      </w:r>
      <w:r>
        <w:rPr>
          <w:rFonts w:hint="default" w:ascii="Times New Roman" w:hAnsi="Times New Roman" w:eastAsia="宋体" w:cs="Times New Roman"/>
          <w:b w:val="0"/>
          <w:bCs w:val="0"/>
          <w:color w:val="auto"/>
          <w:kern w:val="2"/>
          <w:sz w:val="24"/>
          <w:szCs w:val="24"/>
          <w:vertAlign w:val="baseline"/>
          <w:lang w:val="en-US" w:eastAsia="zh-CN" w:bidi="ar-SA"/>
        </w:rPr>
        <w:t>未减空白介质土壤培养液</w:t>
      </w:r>
      <w:r>
        <w:rPr>
          <w:rFonts w:hint="eastAsia" w:ascii="Times New Roman" w:hAnsi="Times New Roman" w:eastAsia="宋体" w:cs="Times New Roman"/>
          <w:b w:val="0"/>
          <w:bCs w:val="0"/>
          <w:color w:val="auto"/>
          <w:kern w:val="2"/>
          <w:sz w:val="24"/>
          <w:szCs w:val="24"/>
          <w:vertAlign w:val="baseline"/>
          <w:lang w:val="en-US" w:eastAsia="zh-CN" w:bidi="ar-SA"/>
        </w:rPr>
        <w:t>的硝化潜势差异率和</w:t>
      </w:r>
      <w:r>
        <w:rPr>
          <w:rFonts w:hint="default" w:ascii="Times New Roman" w:hAnsi="Times New Roman" w:eastAsia="宋体" w:cs="Times New Roman"/>
          <w:b w:val="0"/>
          <w:bCs w:val="0"/>
          <w:color w:val="auto"/>
          <w:kern w:val="2"/>
          <w:sz w:val="24"/>
          <w:szCs w:val="24"/>
          <w:vertAlign w:val="baseline"/>
          <w:lang w:val="en-US" w:eastAsia="zh-CN" w:bidi="ar-SA"/>
        </w:rPr>
        <w:t>减空白介质土壤培养液</w:t>
      </w:r>
      <w:r>
        <w:rPr>
          <w:rFonts w:hint="eastAsia" w:ascii="Times New Roman" w:hAnsi="Times New Roman" w:eastAsia="宋体" w:cs="Times New Roman"/>
          <w:b w:val="0"/>
          <w:bCs w:val="0"/>
          <w:color w:val="auto"/>
          <w:kern w:val="2"/>
          <w:sz w:val="24"/>
          <w:szCs w:val="24"/>
          <w:vertAlign w:val="baseline"/>
          <w:lang w:val="en-US" w:eastAsia="zh-CN" w:bidi="ar-SA"/>
        </w:rPr>
        <w:t>的硝化潜势差异率，可发现</w:t>
      </w:r>
      <w:r>
        <w:rPr>
          <w:rFonts w:hint="default" w:ascii="Times New Roman" w:hAnsi="Times New Roman" w:eastAsia="宋体" w:cs="Times New Roman"/>
          <w:b w:val="0"/>
          <w:bCs w:val="0"/>
          <w:color w:val="auto"/>
          <w:kern w:val="2"/>
          <w:sz w:val="24"/>
          <w:szCs w:val="24"/>
          <w:vertAlign w:val="baseline"/>
          <w:lang w:val="en-US" w:eastAsia="zh-CN" w:bidi="ar-SA"/>
        </w:rPr>
        <w:t>减空白介质土壤培养液</w:t>
      </w:r>
      <w:r>
        <w:rPr>
          <w:rFonts w:hint="eastAsia" w:ascii="Times New Roman" w:hAnsi="Times New Roman" w:eastAsia="宋体" w:cs="Times New Roman"/>
          <w:b w:val="0"/>
          <w:bCs w:val="0"/>
          <w:color w:val="auto"/>
          <w:kern w:val="2"/>
          <w:sz w:val="24"/>
          <w:szCs w:val="24"/>
          <w:vertAlign w:val="baseline"/>
          <w:lang w:val="en-US" w:eastAsia="zh-CN" w:bidi="ar-SA"/>
        </w:rPr>
        <w:t>的硝化潜势差异率明显增加，说明土壤本身含有氮对硝化潜势差异率影响重大。因此在采用肥料引起的硝化潜势差异率评价稳定性的硝化抑制效果时，必须去除土壤氮对硝化潜势的影响，只保留稳定性肥料引起的那部分差异。</w:t>
      </w:r>
    </w:p>
    <w:p w14:paraId="357774D5">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42" w:firstLineChars="200"/>
        <w:textAlignment w:val="auto"/>
        <w:rPr>
          <w:rFonts w:hint="default" w:ascii="Times New Roman" w:hAnsi="Times New Roman" w:eastAsia="宋体" w:cs="Times New Roman"/>
          <w:color w:val="0000FF"/>
          <w:kern w:val="2"/>
          <w:sz w:val="22"/>
          <w:szCs w:val="22"/>
          <w:vertAlign w:val="baseline"/>
          <w:lang w:val="en-US" w:eastAsia="zh-CN" w:bidi="ar-SA"/>
        </w:rPr>
      </w:pPr>
      <w:r>
        <w:rPr>
          <w:rFonts w:hint="eastAsia" w:ascii="Times New Roman" w:hAnsi="Times New Roman" w:eastAsia="宋体" w:cs="Times New Roman"/>
          <w:b/>
          <w:bCs/>
          <w:color w:val="auto"/>
          <w:kern w:val="2"/>
          <w:sz w:val="22"/>
          <w:szCs w:val="22"/>
          <w:lang w:val="en-US" w:eastAsia="zh-CN" w:bidi="ar-SA"/>
        </w:rPr>
        <w:t xml:space="preserve">表15 </w:t>
      </w:r>
      <w:r>
        <w:rPr>
          <w:rFonts w:hint="eastAsia" w:ascii="Times New Roman" w:hAnsi="Times New Roman" w:eastAsia="宋体" w:cs="Times New Roman"/>
          <w:b/>
          <w:bCs/>
          <w:color w:val="auto"/>
          <w:kern w:val="2"/>
          <w:sz w:val="24"/>
          <w:szCs w:val="24"/>
          <w:lang w:val="en-US" w:eastAsia="zh-CN" w:bidi="ar-SA"/>
        </w:rPr>
        <w:t>培养时间、缩二脲、土壤氮对硝化潜势差异率（RNP）的影响</w:t>
      </w: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864"/>
        <w:gridCol w:w="965"/>
        <w:gridCol w:w="965"/>
        <w:gridCol w:w="965"/>
        <w:gridCol w:w="965"/>
        <w:gridCol w:w="965"/>
        <w:gridCol w:w="965"/>
        <w:gridCol w:w="1012"/>
      </w:tblGrid>
      <w:tr w14:paraId="44146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9"/>
          </w:tcPr>
          <w:p w14:paraId="5BED2E7D">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b/>
                <w:bCs/>
                <w:kern w:val="2"/>
                <w:sz w:val="21"/>
                <w:szCs w:val="21"/>
                <w:vertAlign w:val="baseline"/>
                <w:lang w:val="en-US" w:eastAsia="zh-CN" w:bidi="ar-SA"/>
              </w:rPr>
              <w:t>未减空白介质土壤培养液的</w:t>
            </w:r>
            <w:r>
              <w:rPr>
                <w:rFonts w:hint="eastAsia" w:ascii="Times New Roman" w:hAnsi="Times New Roman" w:eastAsia="宋体" w:cs="Times New Roman"/>
                <w:b/>
                <w:bCs/>
                <w:kern w:val="2"/>
                <w:sz w:val="21"/>
                <w:szCs w:val="21"/>
                <w:vertAlign w:val="baseline"/>
                <w:lang w:val="en-US" w:eastAsia="zh-CN" w:bidi="ar-SA"/>
              </w:rPr>
              <w:t>硝化潜势差异率（RNP）</w:t>
            </w:r>
          </w:p>
        </w:tc>
      </w:tr>
      <w:tr w14:paraId="2EB9C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tcPr>
          <w:p w14:paraId="663B54B1">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RNP %</w:t>
            </w:r>
          </w:p>
        </w:tc>
        <w:tc>
          <w:tcPr>
            <w:tcW w:w="507" w:type="pct"/>
          </w:tcPr>
          <w:p w14:paraId="481E285E">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2h-1h</w:t>
            </w:r>
          </w:p>
        </w:tc>
        <w:tc>
          <w:tcPr>
            <w:tcW w:w="566" w:type="pct"/>
          </w:tcPr>
          <w:p w14:paraId="410E8AE0">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3h-1h</w:t>
            </w:r>
          </w:p>
        </w:tc>
        <w:tc>
          <w:tcPr>
            <w:tcW w:w="566" w:type="pct"/>
          </w:tcPr>
          <w:p w14:paraId="5CA44977">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4h-1h</w:t>
            </w:r>
          </w:p>
        </w:tc>
        <w:tc>
          <w:tcPr>
            <w:tcW w:w="566" w:type="pct"/>
          </w:tcPr>
          <w:p w14:paraId="3DE012D8">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5h-1h</w:t>
            </w:r>
          </w:p>
        </w:tc>
        <w:tc>
          <w:tcPr>
            <w:tcW w:w="566" w:type="pct"/>
          </w:tcPr>
          <w:p w14:paraId="1B14A966">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6h-1h</w:t>
            </w:r>
          </w:p>
        </w:tc>
        <w:tc>
          <w:tcPr>
            <w:tcW w:w="566" w:type="pct"/>
          </w:tcPr>
          <w:p w14:paraId="62A88DEB">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7h-1h</w:t>
            </w:r>
          </w:p>
        </w:tc>
        <w:tc>
          <w:tcPr>
            <w:tcW w:w="566" w:type="pct"/>
          </w:tcPr>
          <w:p w14:paraId="417FB836">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8h-1h</w:t>
            </w:r>
          </w:p>
        </w:tc>
        <w:tc>
          <w:tcPr>
            <w:tcW w:w="591" w:type="pct"/>
          </w:tcPr>
          <w:p w14:paraId="6599AF08">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9h-1h</w:t>
            </w:r>
          </w:p>
        </w:tc>
      </w:tr>
      <w:tr w14:paraId="29092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tcPr>
          <w:p w14:paraId="63992C77">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对照1</w:t>
            </w:r>
          </w:p>
        </w:tc>
        <w:tc>
          <w:tcPr>
            <w:tcW w:w="507" w:type="pct"/>
            <w:vAlign w:val="center"/>
          </w:tcPr>
          <w:p w14:paraId="39F5DDC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-16.98 </w:t>
            </w:r>
          </w:p>
        </w:tc>
        <w:tc>
          <w:tcPr>
            <w:tcW w:w="566" w:type="pct"/>
            <w:vAlign w:val="center"/>
          </w:tcPr>
          <w:p w14:paraId="0941CE3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-9.92 </w:t>
            </w:r>
          </w:p>
        </w:tc>
        <w:tc>
          <w:tcPr>
            <w:tcW w:w="566" w:type="pct"/>
            <w:vAlign w:val="center"/>
          </w:tcPr>
          <w:p w14:paraId="00E2B39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0.68 </w:t>
            </w:r>
          </w:p>
        </w:tc>
        <w:tc>
          <w:tcPr>
            <w:tcW w:w="566" w:type="pct"/>
            <w:vAlign w:val="center"/>
          </w:tcPr>
          <w:p w14:paraId="138938A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0.70 </w:t>
            </w:r>
          </w:p>
        </w:tc>
        <w:tc>
          <w:tcPr>
            <w:tcW w:w="566" w:type="pct"/>
            <w:vAlign w:val="center"/>
          </w:tcPr>
          <w:p w14:paraId="03A49A4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-4.14 </w:t>
            </w:r>
          </w:p>
        </w:tc>
        <w:tc>
          <w:tcPr>
            <w:tcW w:w="566" w:type="pct"/>
            <w:vAlign w:val="center"/>
          </w:tcPr>
          <w:p w14:paraId="227A479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0.47 </w:t>
            </w:r>
          </w:p>
        </w:tc>
        <w:tc>
          <w:tcPr>
            <w:tcW w:w="566" w:type="pct"/>
            <w:vAlign w:val="center"/>
          </w:tcPr>
          <w:p w14:paraId="51C6B0A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-4.60 </w:t>
            </w:r>
          </w:p>
        </w:tc>
        <w:tc>
          <w:tcPr>
            <w:tcW w:w="591" w:type="pct"/>
            <w:vAlign w:val="center"/>
          </w:tcPr>
          <w:p w14:paraId="7F9D94D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5.45 </w:t>
            </w:r>
          </w:p>
        </w:tc>
      </w:tr>
      <w:tr w14:paraId="24E64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tcPr>
          <w:p w14:paraId="7E6D4DC3">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对照2</w:t>
            </w:r>
          </w:p>
        </w:tc>
        <w:tc>
          <w:tcPr>
            <w:tcW w:w="507" w:type="pct"/>
            <w:vAlign w:val="center"/>
          </w:tcPr>
          <w:p w14:paraId="10528A3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15.18 </w:t>
            </w:r>
          </w:p>
        </w:tc>
        <w:tc>
          <w:tcPr>
            <w:tcW w:w="566" w:type="pct"/>
            <w:vAlign w:val="center"/>
          </w:tcPr>
          <w:p w14:paraId="6ACC720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0.52 </w:t>
            </w:r>
          </w:p>
        </w:tc>
        <w:tc>
          <w:tcPr>
            <w:tcW w:w="566" w:type="pct"/>
            <w:vAlign w:val="center"/>
          </w:tcPr>
          <w:p w14:paraId="07D234E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11.90 </w:t>
            </w:r>
          </w:p>
        </w:tc>
        <w:tc>
          <w:tcPr>
            <w:tcW w:w="566" w:type="pct"/>
            <w:vAlign w:val="center"/>
          </w:tcPr>
          <w:p w14:paraId="3735E6F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9.43 </w:t>
            </w:r>
          </w:p>
        </w:tc>
        <w:tc>
          <w:tcPr>
            <w:tcW w:w="566" w:type="pct"/>
            <w:vAlign w:val="center"/>
          </w:tcPr>
          <w:p w14:paraId="38B9AC8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5.87 </w:t>
            </w:r>
          </w:p>
        </w:tc>
        <w:tc>
          <w:tcPr>
            <w:tcW w:w="566" w:type="pct"/>
            <w:vAlign w:val="center"/>
          </w:tcPr>
          <w:p w14:paraId="66F1BC2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3.16 </w:t>
            </w:r>
          </w:p>
        </w:tc>
        <w:tc>
          <w:tcPr>
            <w:tcW w:w="566" w:type="pct"/>
            <w:vAlign w:val="center"/>
          </w:tcPr>
          <w:p w14:paraId="2DCFC4D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8.95 </w:t>
            </w:r>
          </w:p>
        </w:tc>
        <w:tc>
          <w:tcPr>
            <w:tcW w:w="591" w:type="pct"/>
            <w:vAlign w:val="center"/>
          </w:tcPr>
          <w:p w14:paraId="6FCA2C6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6.64 </w:t>
            </w:r>
          </w:p>
        </w:tc>
      </w:tr>
      <w:tr w14:paraId="3C257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tcPr>
          <w:p w14:paraId="61FC422A">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07" w:type="pct"/>
          </w:tcPr>
          <w:p w14:paraId="26D936DF">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21005FBE">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3h-2h</w:t>
            </w:r>
          </w:p>
        </w:tc>
        <w:tc>
          <w:tcPr>
            <w:tcW w:w="566" w:type="pct"/>
            <w:shd w:val="clear" w:color="auto" w:fill="auto"/>
            <w:vAlign w:val="top"/>
          </w:tcPr>
          <w:p w14:paraId="2F2FE6EF">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4h-2h</w:t>
            </w:r>
          </w:p>
        </w:tc>
        <w:tc>
          <w:tcPr>
            <w:tcW w:w="566" w:type="pct"/>
            <w:shd w:val="clear" w:color="auto" w:fill="auto"/>
            <w:vAlign w:val="top"/>
          </w:tcPr>
          <w:p w14:paraId="7647A3E7">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5h-2h</w:t>
            </w:r>
          </w:p>
        </w:tc>
        <w:tc>
          <w:tcPr>
            <w:tcW w:w="566" w:type="pct"/>
            <w:shd w:val="clear" w:color="auto" w:fill="auto"/>
            <w:vAlign w:val="top"/>
          </w:tcPr>
          <w:p w14:paraId="0E069F80">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6h-2h</w:t>
            </w:r>
          </w:p>
        </w:tc>
        <w:tc>
          <w:tcPr>
            <w:tcW w:w="566" w:type="pct"/>
            <w:shd w:val="clear" w:color="auto" w:fill="auto"/>
            <w:vAlign w:val="top"/>
          </w:tcPr>
          <w:p w14:paraId="20477DB7">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7h-2h</w:t>
            </w:r>
          </w:p>
        </w:tc>
        <w:tc>
          <w:tcPr>
            <w:tcW w:w="566" w:type="pct"/>
            <w:shd w:val="clear" w:color="auto" w:fill="auto"/>
            <w:vAlign w:val="top"/>
          </w:tcPr>
          <w:p w14:paraId="660852C3">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8h-2h</w:t>
            </w:r>
          </w:p>
        </w:tc>
        <w:tc>
          <w:tcPr>
            <w:tcW w:w="591" w:type="pct"/>
            <w:shd w:val="clear" w:color="auto" w:fill="auto"/>
            <w:vAlign w:val="top"/>
          </w:tcPr>
          <w:p w14:paraId="7CD4352E">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9h-2h</w:t>
            </w:r>
          </w:p>
        </w:tc>
      </w:tr>
      <w:tr w14:paraId="7F92F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shd w:val="clear" w:color="auto" w:fill="auto"/>
            <w:vAlign w:val="top"/>
          </w:tcPr>
          <w:p w14:paraId="01D51FC6">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对照1</w:t>
            </w:r>
          </w:p>
        </w:tc>
        <w:tc>
          <w:tcPr>
            <w:tcW w:w="507" w:type="pct"/>
          </w:tcPr>
          <w:p w14:paraId="6B01F9BD">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vAlign w:val="center"/>
          </w:tcPr>
          <w:p w14:paraId="395AE90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-7.78 </w:t>
            </w:r>
          </w:p>
        </w:tc>
        <w:tc>
          <w:tcPr>
            <w:tcW w:w="566" w:type="pct"/>
            <w:vAlign w:val="center"/>
          </w:tcPr>
          <w:p w14:paraId="1852506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7.06 </w:t>
            </w:r>
          </w:p>
        </w:tc>
        <w:tc>
          <w:tcPr>
            <w:tcW w:w="566" w:type="pct"/>
            <w:vAlign w:val="center"/>
          </w:tcPr>
          <w:p w14:paraId="58CEAD6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4.88 </w:t>
            </w:r>
          </w:p>
        </w:tc>
        <w:tc>
          <w:tcPr>
            <w:tcW w:w="566" w:type="pct"/>
            <w:vAlign w:val="center"/>
          </w:tcPr>
          <w:p w14:paraId="0D7F47E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b/>
                <w:bCs/>
                <w:i w:val="0"/>
                <w:iCs w:val="0"/>
                <w:color w:val="auto"/>
                <w:kern w:val="0"/>
                <w:sz w:val="21"/>
                <w:szCs w:val="21"/>
                <w:u w:val="none"/>
                <w:lang w:val="en-US" w:eastAsia="zh-CN" w:bidi="ar"/>
              </w:rPr>
              <w:t xml:space="preserve">-2.36 </w:t>
            </w:r>
          </w:p>
        </w:tc>
        <w:tc>
          <w:tcPr>
            <w:tcW w:w="566" w:type="pct"/>
            <w:vAlign w:val="center"/>
          </w:tcPr>
          <w:p w14:paraId="3F46221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b/>
                <w:bCs/>
                <w:i w:val="0"/>
                <w:iCs w:val="0"/>
                <w:color w:val="auto"/>
                <w:kern w:val="0"/>
                <w:sz w:val="21"/>
                <w:szCs w:val="21"/>
                <w:u w:val="none"/>
                <w:lang w:val="en-US" w:eastAsia="zh-CN" w:bidi="ar"/>
              </w:rPr>
              <w:t xml:space="preserve">2.77 </w:t>
            </w:r>
          </w:p>
        </w:tc>
        <w:tc>
          <w:tcPr>
            <w:tcW w:w="566" w:type="pct"/>
            <w:vAlign w:val="center"/>
          </w:tcPr>
          <w:p w14:paraId="4F10C6F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b/>
                <w:bCs/>
                <w:i w:val="0"/>
                <w:iCs w:val="0"/>
                <w:color w:val="auto"/>
                <w:kern w:val="0"/>
                <w:sz w:val="21"/>
                <w:szCs w:val="21"/>
                <w:u w:val="none"/>
                <w:lang w:val="en-US" w:eastAsia="zh-CN" w:bidi="ar"/>
              </w:rPr>
              <w:t xml:space="preserve">-3.21 </w:t>
            </w:r>
          </w:p>
        </w:tc>
        <w:tc>
          <w:tcPr>
            <w:tcW w:w="591" w:type="pct"/>
            <w:vAlign w:val="center"/>
          </w:tcPr>
          <w:p w14:paraId="7356470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b/>
                <w:bCs/>
                <w:i w:val="0"/>
                <w:iCs w:val="0"/>
                <w:color w:val="auto"/>
                <w:kern w:val="0"/>
                <w:sz w:val="21"/>
                <w:szCs w:val="21"/>
                <w:u w:val="none"/>
                <w:lang w:val="en-US" w:eastAsia="zh-CN" w:bidi="ar"/>
              </w:rPr>
              <w:t xml:space="preserve">7.29 </w:t>
            </w:r>
          </w:p>
        </w:tc>
      </w:tr>
      <w:tr w14:paraId="2DB98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shd w:val="clear" w:color="auto" w:fill="auto"/>
            <w:vAlign w:val="top"/>
          </w:tcPr>
          <w:p w14:paraId="2C88D368">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对照2</w:t>
            </w:r>
          </w:p>
        </w:tc>
        <w:tc>
          <w:tcPr>
            <w:tcW w:w="507" w:type="pct"/>
          </w:tcPr>
          <w:p w14:paraId="5BD32E05">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vAlign w:val="center"/>
          </w:tcPr>
          <w:p w14:paraId="48FBD77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-5.46 </w:t>
            </w:r>
          </w:p>
        </w:tc>
        <w:tc>
          <w:tcPr>
            <w:tcW w:w="566" w:type="pct"/>
            <w:vAlign w:val="center"/>
          </w:tcPr>
          <w:p w14:paraId="2F95B0A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10.33 </w:t>
            </w:r>
          </w:p>
        </w:tc>
        <w:tc>
          <w:tcPr>
            <w:tcW w:w="566" w:type="pct"/>
            <w:vAlign w:val="center"/>
          </w:tcPr>
          <w:p w14:paraId="34F313C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7.61 </w:t>
            </w:r>
          </w:p>
        </w:tc>
        <w:tc>
          <w:tcPr>
            <w:tcW w:w="566" w:type="pct"/>
            <w:vAlign w:val="center"/>
          </w:tcPr>
          <w:p w14:paraId="2DF3F9C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b/>
                <w:bCs/>
                <w:i w:val="0"/>
                <w:iCs w:val="0"/>
                <w:color w:val="auto"/>
                <w:kern w:val="0"/>
                <w:sz w:val="21"/>
                <w:szCs w:val="21"/>
                <w:u w:val="none"/>
                <w:lang w:val="en-US" w:eastAsia="zh-CN" w:bidi="ar"/>
              </w:rPr>
              <w:t xml:space="preserve">4.20 </w:t>
            </w:r>
          </w:p>
        </w:tc>
        <w:tc>
          <w:tcPr>
            <w:tcW w:w="566" w:type="pct"/>
            <w:vAlign w:val="center"/>
          </w:tcPr>
          <w:p w14:paraId="2D3B21D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b/>
                <w:bCs/>
                <w:i w:val="0"/>
                <w:iCs w:val="0"/>
                <w:color w:val="auto"/>
                <w:kern w:val="0"/>
                <w:sz w:val="21"/>
                <w:szCs w:val="21"/>
                <w:u w:val="none"/>
                <w:lang w:val="en-US" w:eastAsia="zh-CN" w:bidi="ar"/>
              </w:rPr>
              <w:t xml:space="preserve">0.94 </w:t>
            </w:r>
          </w:p>
        </w:tc>
        <w:tc>
          <w:tcPr>
            <w:tcW w:w="566" w:type="pct"/>
            <w:vAlign w:val="center"/>
          </w:tcPr>
          <w:p w14:paraId="65079E7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b/>
                <w:bCs/>
                <w:i w:val="0"/>
                <w:iCs w:val="0"/>
                <w:color w:val="auto"/>
                <w:kern w:val="0"/>
                <w:sz w:val="21"/>
                <w:szCs w:val="21"/>
                <w:u w:val="none"/>
                <w:lang w:val="en-US" w:eastAsia="zh-CN" w:bidi="ar"/>
              </w:rPr>
              <w:t xml:space="preserve">8.09 </w:t>
            </w:r>
          </w:p>
        </w:tc>
        <w:tc>
          <w:tcPr>
            <w:tcW w:w="591" w:type="pct"/>
            <w:vAlign w:val="center"/>
          </w:tcPr>
          <w:p w14:paraId="1155A35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b/>
                <w:bCs/>
                <w:i w:val="0"/>
                <w:iCs w:val="0"/>
                <w:color w:val="auto"/>
                <w:kern w:val="0"/>
                <w:sz w:val="21"/>
                <w:szCs w:val="21"/>
                <w:u w:val="none"/>
                <w:lang w:val="en-US" w:eastAsia="zh-CN" w:bidi="ar"/>
              </w:rPr>
              <w:t xml:space="preserve">5.66 </w:t>
            </w:r>
          </w:p>
        </w:tc>
      </w:tr>
      <w:tr w14:paraId="4691E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tcPr>
          <w:p w14:paraId="023A7B02">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07" w:type="pct"/>
          </w:tcPr>
          <w:p w14:paraId="24DA2841">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tcPr>
          <w:p w14:paraId="32E950E9">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3093EF80">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4h-3h</w:t>
            </w:r>
          </w:p>
        </w:tc>
        <w:tc>
          <w:tcPr>
            <w:tcW w:w="566" w:type="pct"/>
            <w:shd w:val="clear" w:color="auto" w:fill="auto"/>
            <w:vAlign w:val="top"/>
          </w:tcPr>
          <w:p w14:paraId="5CEB41F6">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5h-3h</w:t>
            </w:r>
          </w:p>
        </w:tc>
        <w:tc>
          <w:tcPr>
            <w:tcW w:w="566" w:type="pct"/>
            <w:shd w:val="clear" w:color="auto" w:fill="auto"/>
            <w:vAlign w:val="top"/>
          </w:tcPr>
          <w:p w14:paraId="58C72D31">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6h-3h</w:t>
            </w:r>
          </w:p>
        </w:tc>
        <w:tc>
          <w:tcPr>
            <w:tcW w:w="566" w:type="pct"/>
            <w:shd w:val="clear" w:color="auto" w:fill="auto"/>
            <w:vAlign w:val="top"/>
          </w:tcPr>
          <w:p w14:paraId="594F99E8">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7h-3h</w:t>
            </w:r>
          </w:p>
        </w:tc>
        <w:tc>
          <w:tcPr>
            <w:tcW w:w="566" w:type="pct"/>
            <w:shd w:val="clear" w:color="auto" w:fill="auto"/>
            <w:vAlign w:val="top"/>
          </w:tcPr>
          <w:p w14:paraId="79305E9B">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8h-3h</w:t>
            </w:r>
          </w:p>
        </w:tc>
        <w:tc>
          <w:tcPr>
            <w:tcW w:w="591" w:type="pct"/>
            <w:shd w:val="clear" w:color="auto" w:fill="auto"/>
            <w:vAlign w:val="top"/>
          </w:tcPr>
          <w:p w14:paraId="18C5EB0E">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9h-3h</w:t>
            </w:r>
          </w:p>
        </w:tc>
      </w:tr>
      <w:tr w14:paraId="1CE55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shd w:val="clear" w:color="auto" w:fill="auto"/>
            <w:vAlign w:val="top"/>
          </w:tcPr>
          <w:p w14:paraId="626FF81C">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对照1</w:t>
            </w:r>
          </w:p>
        </w:tc>
        <w:tc>
          <w:tcPr>
            <w:tcW w:w="507" w:type="pct"/>
          </w:tcPr>
          <w:p w14:paraId="3705DBAD">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tcPr>
          <w:p w14:paraId="078DA5FA">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center"/>
          </w:tcPr>
          <w:p w14:paraId="02D0F05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-84.21 </w:t>
            </w:r>
          </w:p>
        </w:tc>
        <w:tc>
          <w:tcPr>
            <w:tcW w:w="566" w:type="pct"/>
            <w:shd w:val="clear" w:color="auto" w:fill="auto"/>
            <w:vAlign w:val="center"/>
          </w:tcPr>
          <w:p w14:paraId="77172E1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50.16 </w:t>
            </w:r>
          </w:p>
        </w:tc>
        <w:tc>
          <w:tcPr>
            <w:tcW w:w="566" w:type="pct"/>
            <w:shd w:val="clear" w:color="auto" w:fill="auto"/>
            <w:vAlign w:val="center"/>
          </w:tcPr>
          <w:p w14:paraId="63CCBAD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2.24 </w:t>
            </w:r>
          </w:p>
        </w:tc>
        <w:tc>
          <w:tcPr>
            <w:tcW w:w="566" w:type="pct"/>
            <w:shd w:val="clear" w:color="auto" w:fill="auto"/>
            <w:vAlign w:val="center"/>
          </w:tcPr>
          <w:p w14:paraId="7E45170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10.91 </w:t>
            </w:r>
          </w:p>
        </w:tc>
        <w:tc>
          <w:tcPr>
            <w:tcW w:w="566" w:type="pct"/>
            <w:shd w:val="clear" w:color="auto" w:fill="auto"/>
            <w:vAlign w:val="center"/>
          </w:tcPr>
          <w:p w14:paraId="277E708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-0.47 </w:t>
            </w:r>
          </w:p>
        </w:tc>
        <w:tc>
          <w:tcPr>
            <w:tcW w:w="591" w:type="pct"/>
            <w:shd w:val="clear" w:color="auto" w:fill="auto"/>
            <w:vAlign w:val="center"/>
          </w:tcPr>
          <w:p w14:paraId="5380527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12.91 </w:t>
            </w:r>
          </w:p>
        </w:tc>
      </w:tr>
      <w:tr w14:paraId="4C233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shd w:val="clear" w:color="auto" w:fill="auto"/>
            <w:vAlign w:val="top"/>
          </w:tcPr>
          <w:p w14:paraId="27AF344A">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对照2</w:t>
            </w:r>
          </w:p>
        </w:tc>
        <w:tc>
          <w:tcPr>
            <w:tcW w:w="507" w:type="pct"/>
          </w:tcPr>
          <w:p w14:paraId="17811366">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tcPr>
          <w:p w14:paraId="737E46DA">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center"/>
          </w:tcPr>
          <w:p w14:paraId="4535663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-94.44 </w:t>
            </w:r>
          </w:p>
        </w:tc>
        <w:tc>
          <w:tcPr>
            <w:tcW w:w="566" w:type="pct"/>
            <w:shd w:val="clear" w:color="auto" w:fill="auto"/>
            <w:vAlign w:val="center"/>
          </w:tcPr>
          <w:p w14:paraId="0D760BF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52.84 </w:t>
            </w:r>
          </w:p>
        </w:tc>
        <w:tc>
          <w:tcPr>
            <w:tcW w:w="566" w:type="pct"/>
            <w:shd w:val="clear" w:color="auto" w:fill="auto"/>
            <w:vAlign w:val="center"/>
          </w:tcPr>
          <w:p w14:paraId="7895554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11.76 </w:t>
            </w:r>
          </w:p>
        </w:tc>
        <w:tc>
          <w:tcPr>
            <w:tcW w:w="566" w:type="pct"/>
            <w:shd w:val="clear" w:color="auto" w:fill="auto"/>
            <w:vAlign w:val="center"/>
          </w:tcPr>
          <w:p w14:paraId="5BE2553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6.26 </w:t>
            </w:r>
          </w:p>
        </w:tc>
        <w:tc>
          <w:tcPr>
            <w:tcW w:w="566" w:type="pct"/>
            <w:shd w:val="clear" w:color="auto" w:fill="auto"/>
            <w:vAlign w:val="center"/>
          </w:tcPr>
          <w:p w14:paraId="15E2B77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15.08 </w:t>
            </w:r>
          </w:p>
        </w:tc>
        <w:tc>
          <w:tcPr>
            <w:tcW w:w="591" w:type="pct"/>
            <w:shd w:val="clear" w:color="auto" w:fill="auto"/>
            <w:vAlign w:val="center"/>
          </w:tcPr>
          <w:p w14:paraId="76398A5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10.03 </w:t>
            </w:r>
          </w:p>
        </w:tc>
      </w:tr>
      <w:tr w14:paraId="567A7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tcPr>
          <w:p w14:paraId="66189548">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07" w:type="pct"/>
          </w:tcPr>
          <w:p w14:paraId="62F8BA96">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tcPr>
          <w:p w14:paraId="4AA11517">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02F005C7">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54692506">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5h-4h</w:t>
            </w:r>
          </w:p>
        </w:tc>
        <w:tc>
          <w:tcPr>
            <w:tcW w:w="566" w:type="pct"/>
            <w:shd w:val="clear" w:color="auto" w:fill="auto"/>
            <w:vAlign w:val="top"/>
          </w:tcPr>
          <w:p w14:paraId="2B136716">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6h-4h</w:t>
            </w:r>
          </w:p>
        </w:tc>
        <w:tc>
          <w:tcPr>
            <w:tcW w:w="566" w:type="pct"/>
            <w:shd w:val="clear" w:color="auto" w:fill="auto"/>
            <w:vAlign w:val="top"/>
          </w:tcPr>
          <w:p w14:paraId="73A47719">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7h-4h</w:t>
            </w:r>
          </w:p>
        </w:tc>
        <w:tc>
          <w:tcPr>
            <w:tcW w:w="566" w:type="pct"/>
            <w:shd w:val="clear" w:color="auto" w:fill="auto"/>
            <w:vAlign w:val="top"/>
          </w:tcPr>
          <w:p w14:paraId="420842C9">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8h-4h</w:t>
            </w:r>
          </w:p>
        </w:tc>
        <w:tc>
          <w:tcPr>
            <w:tcW w:w="591" w:type="pct"/>
            <w:shd w:val="clear" w:color="auto" w:fill="auto"/>
            <w:vAlign w:val="top"/>
          </w:tcPr>
          <w:p w14:paraId="6395DFED">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9h-4h</w:t>
            </w:r>
          </w:p>
        </w:tc>
      </w:tr>
      <w:tr w14:paraId="13072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shd w:val="clear" w:color="auto" w:fill="auto"/>
            <w:vAlign w:val="top"/>
          </w:tcPr>
          <w:p w14:paraId="38C41B33">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对照1</w:t>
            </w:r>
          </w:p>
        </w:tc>
        <w:tc>
          <w:tcPr>
            <w:tcW w:w="507" w:type="pct"/>
          </w:tcPr>
          <w:p w14:paraId="213916CD">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tcPr>
          <w:p w14:paraId="6626FF19">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3CD26C73">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center"/>
          </w:tcPr>
          <w:p w14:paraId="5A797A4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0.76 </w:t>
            </w:r>
          </w:p>
        </w:tc>
        <w:tc>
          <w:tcPr>
            <w:tcW w:w="566" w:type="pct"/>
            <w:shd w:val="clear" w:color="auto" w:fill="auto"/>
            <w:vAlign w:val="center"/>
          </w:tcPr>
          <w:p w14:paraId="1359206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-8.24 </w:t>
            </w:r>
          </w:p>
        </w:tc>
        <w:tc>
          <w:tcPr>
            <w:tcW w:w="566" w:type="pct"/>
            <w:shd w:val="clear" w:color="auto" w:fill="auto"/>
            <w:vAlign w:val="center"/>
          </w:tcPr>
          <w:p w14:paraId="36DEE29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0.30 </w:t>
            </w:r>
          </w:p>
        </w:tc>
        <w:tc>
          <w:tcPr>
            <w:tcW w:w="566" w:type="pct"/>
            <w:shd w:val="clear" w:color="auto" w:fill="auto"/>
            <w:vAlign w:val="center"/>
          </w:tcPr>
          <w:p w14:paraId="3A3C7B9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-7.88 </w:t>
            </w:r>
          </w:p>
        </w:tc>
        <w:tc>
          <w:tcPr>
            <w:tcW w:w="591" w:type="pct"/>
            <w:shd w:val="clear" w:color="auto" w:fill="auto"/>
            <w:vAlign w:val="center"/>
          </w:tcPr>
          <w:p w14:paraId="61A67A6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7.35 </w:t>
            </w:r>
          </w:p>
        </w:tc>
      </w:tr>
      <w:tr w14:paraId="53D57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shd w:val="clear" w:color="auto" w:fill="auto"/>
            <w:vAlign w:val="top"/>
          </w:tcPr>
          <w:p w14:paraId="2D7F2D61">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对照2</w:t>
            </w:r>
          </w:p>
        </w:tc>
        <w:tc>
          <w:tcPr>
            <w:tcW w:w="507" w:type="pct"/>
          </w:tcPr>
          <w:p w14:paraId="77D9EDD4">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tcPr>
          <w:p w14:paraId="075C0EAF">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558C09D5">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center"/>
          </w:tcPr>
          <w:p w14:paraId="3BB8432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2.37 </w:t>
            </w:r>
          </w:p>
        </w:tc>
        <w:tc>
          <w:tcPr>
            <w:tcW w:w="566" w:type="pct"/>
            <w:shd w:val="clear" w:color="auto" w:fill="auto"/>
            <w:vAlign w:val="center"/>
          </w:tcPr>
          <w:p w14:paraId="2D7EAB3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0.56 </w:t>
            </w:r>
          </w:p>
        </w:tc>
        <w:tc>
          <w:tcPr>
            <w:tcW w:w="566" w:type="pct"/>
            <w:shd w:val="clear" w:color="auto" w:fill="auto"/>
            <w:vAlign w:val="center"/>
          </w:tcPr>
          <w:p w14:paraId="400357C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-4.94 </w:t>
            </w:r>
          </w:p>
        </w:tc>
        <w:tc>
          <w:tcPr>
            <w:tcW w:w="566" w:type="pct"/>
            <w:shd w:val="clear" w:color="auto" w:fill="auto"/>
            <w:vAlign w:val="center"/>
          </w:tcPr>
          <w:p w14:paraId="0D67506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7.18 </w:t>
            </w:r>
          </w:p>
        </w:tc>
        <w:tc>
          <w:tcPr>
            <w:tcW w:w="591" w:type="pct"/>
            <w:shd w:val="clear" w:color="auto" w:fill="auto"/>
            <w:vAlign w:val="center"/>
          </w:tcPr>
          <w:p w14:paraId="10F88C3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4.18 </w:t>
            </w:r>
          </w:p>
        </w:tc>
      </w:tr>
      <w:tr w14:paraId="0F896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tcPr>
          <w:p w14:paraId="4ABBB8DB">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07" w:type="pct"/>
          </w:tcPr>
          <w:p w14:paraId="207EE3A6">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tcPr>
          <w:p w14:paraId="49BDC190">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54A810F0">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4BA23EFC">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5B8A41B5">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6h-5h</w:t>
            </w:r>
          </w:p>
        </w:tc>
        <w:tc>
          <w:tcPr>
            <w:tcW w:w="566" w:type="pct"/>
            <w:shd w:val="clear" w:color="auto" w:fill="auto"/>
            <w:vAlign w:val="top"/>
          </w:tcPr>
          <w:p w14:paraId="3D1D027A">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7h-5h</w:t>
            </w:r>
          </w:p>
        </w:tc>
        <w:tc>
          <w:tcPr>
            <w:tcW w:w="566" w:type="pct"/>
            <w:shd w:val="clear" w:color="auto" w:fill="auto"/>
            <w:vAlign w:val="top"/>
          </w:tcPr>
          <w:p w14:paraId="050C7F89">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8h-5h</w:t>
            </w:r>
          </w:p>
        </w:tc>
        <w:tc>
          <w:tcPr>
            <w:tcW w:w="591" w:type="pct"/>
            <w:shd w:val="clear" w:color="auto" w:fill="auto"/>
            <w:vAlign w:val="top"/>
          </w:tcPr>
          <w:p w14:paraId="559A9186">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9h-5h</w:t>
            </w:r>
          </w:p>
        </w:tc>
      </w:tr>
      <w:tr w14:paraId="21C9E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shd w:val="clear" w:color="auto" w:fill="auto"/>
            <w:vAlign w:val="top"/>
          </w:tcPr>
          <w:p w14:paraId="031FAB67">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对照1</w:t>
            </w:r>
          </w:p>
        </w:tc>
        <w:tc>
          <w:tcPr>
            <w:tcW w:w="507" w:type="pct"/>
          </w:tcPr>
          <w:p w14:paraId="0EF67CE8">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tcPr>
          <w:p w14:paraId="1A180B0E">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5639FBA0">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68168F70">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center"/>
          </w:tcPr>
          <w:p w14:paraId="345FBAD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-12.66 </w:t>
            </w:r>
          </w:p>
        </w:tc>
        <w:tc>
          <w:tcPr>
            <w:tcW w:w="566" w:type="pct"/>
            <w:shd w:val="clear" w:color="auto" w:fill="auto"/>
            <w:vAlign w:val="center"/>
          </w:tcPr>
          <w:p w14:paraId="4C540AA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0.11 </w:t>
            </w:r>
          </w:p>
        </w:tc>
        <w:tc>
          <w:tcPr>
            <w:tcW w:w="566" w:type="pct"/>
            <w:shd w:val="clear" w:color="auto" w:fill="auto"/>
            <w:vAlign w:val="center"/>
          </w:tcPr>
          <w:p w14:paraId="5FA4696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-10.62 </w:t>
            </w:r>
          </w:p>
        </w:tc>
        <w:tc>
          <w:tcPr>
            <w:tcW w:w="591" w:type="pct"/>
            <w:shd w:val="clear" w:color="auto" w:fill="auto"/>
            <w:vAlign w:val="center"/>
          </w:tcPr>
          <w:p w14:paraId="1CB9DFB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8.57 </w:t>
            </w:r>
          </w:p>
        </w:tc>
      </w:tr>
      <w:tr w14:paraId="29150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shd w:val="clear" w:color="auto" w:fill="auto"/>
            <w:vAlign w:val="top"/>
          </w:tcPr>
          <w:p w14:paraId="79AEDFF7">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对照2</w:t>
            </w:r>
          </w:p>
        </w:tc>
        <w:tc>
          <w:tcPr>
            <w:tcW w:w="507" w:type="pct"/>
          </w:tcPr>
          <w:p w14:paraId="599E2E39">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tcPr>
          <w:p w14:paraId="323B9F0A">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35BDC4E5">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5C189998">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center"/>
          </w:tcPr>
          <w:p w14:paraId="0CDE52A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-0.24 </w:t>
            </w:r>
          </w:p>
        </w:tc>
        <w:tc>
          <w:tcPr>
            <w:tcW w:w="566" w:type="pct"/>
            <w:shd w:val="clear" w:color="auto" w:fill="auto"/>
            <w:vAlign w:val="center"/>
          </w:tcPr>
          <w:p w14:paraId="05F7ABF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-8.45 </w:t>
            </w:r>
          </w:p>
        </w:tc>
        <w:tc>
          <w:tcPr>
            <w:tcW w:w="566" w:type="pct"/>
            <w:shd w:val="clear" w:color="auto" w:fill="auto"/>
            <w:vAlign w:val="center"/>
          </w:tcPr>
          <w:p w14:paraId="4E95B30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8.46 </w:t>
            </w:r>
          </w:p>
        </w:tc>
        <w:tc>
          <w:tcPr>
            <w:tcW w:w="591" w:type="pct"/>
            <w:shd w:val="clear" w:color="auto" w:fill="auto"/>
            <w:vAlign w:val="center"/>
          </w:tcPr>
          <w:p w14:paraId="21C4974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4.53 </w:t>
            </w:r>
          </w:p>
        </w:tc>
      </w:tr>
      <w:tr w14:paraId="0EF79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tcPr>
          <w:p w14:paraId="695C1D72">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07" w:type="pct"/>
          </w:tcPr>
          <w:p w14:paraId="6FDFD635">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tcPr>
          <w:p w14:paraId="6BFC1B4E">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599454F2">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4742C248">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6ADD01F3">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1CCEA065">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7h-6h</w:t>
            </w:r>
          </w:p>
        </w:tc>
        <w:tc>
          <w:tcPr>
            <w:tcW w:w="566" w:type="pct"/>
            <w:shd w:val="clear" w:color="auto" w:fill="auto"/>
            <w:vAlign w:val="top"/>
          </w:tcPr>
          <w:p w14:paraId="4E11E314">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8h-6h</w:t>
            </w:r>
          </w:p>
        </w:tc>
        <w:tc>
          <w:tcPr>
            <w:tcW w:w="591" w:type="pct"/>
            <w:shd w:val="clear" w:color="auto" w:fill="auto"/>
            <w:vAlign w:val="top"/>
          </w:tcPr>
          <w:p w14:paraId="6D48BAB8">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9h-6h</w:t>
            </w:r>
          </w:p>
        </w:tc>
      </w:tr>
      <w:tr w14:paraId="18111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shd w:val="clear" w:color="auto" w:fill="auto"/>
            <w:vAlign w:val="top"/>
          </w:tcPr>
          <w:p w14:paraId="36936ADF">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对照1</w:t>
            </w:r>
          </w:p>
        </w:tc>
        <w:tc>
          <w:tcPr>
            <w:tcW w:w="507" w:type="pct"/>
          </w:tcPr>
          <w:p w14:paraId="239E5A84">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tcPr>
          <w:p w14:paraId="6885C0FF">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099EFFF7">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47142C74">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70C3869F">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center"/>
          </w:tcPr>
          <w:p w14:paraId="4988DC8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98.90 </w:t>
            </w:r>
          </w:p>
        </w:tc>
        <w:tc>
          <w:tcPr>
            <w:tcW w:w="566" w:type="pct"/>
            <w:shd w:val="clear" w:color="auto" w:fill="auto"/>
            <w:vAlign w:val="center"/>
          </w:tcPr>
          <w:p w14:paraId="70E5232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-6.92 </w:t>
            </w:r>
          </w:p>
        </w:tc>
        <w:tc>
          <w:tcPr>
            <w:tcW w:w="591" w:type="pct"/>
            <w:shd w:val="clear" w:color="auto" w:fill="auto"/>
            <w:vAlign w:val="center"/>
          </w:tcPr>
          <w:p w14:paraId="5209069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21.28 </w:t>
            </w:r>
          </w:p>
        </w:tc>
      </w:tr>
      <w:tr w14:paraId="10B32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shd w:val="clear" w:color="auto" w:fill="auto"/>
            <w:vAlign w:val="top"/>
          </w:tcPr>
          <w:p w14:paraId="1843A5CE">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对照2</w:t>
            </w:r>
          </w:p>
        </w:tc>
        <w:tc>
          <w:tcPr>
            <w:tcW w:w="507" w:type="pct"/>
          </w:tcPr>
          <w:p w14:paraId="378C0E50">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tcPr>
          <w:p w14:paraId="0E5CB355">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6709142F">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5E9E0602">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729C0954">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center"/>
          </w:tcPr>
          <w:p w14:paraId="15134CE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101.69 </w:t>
            </w:r>
          </w:p>
        </w:tc>
        <w:tc>
          <w:tcPr>
            <w:tcW w:w="566" w:type="pct"/>
            <w:shd w:val="clear" w:color="auto" w:fill="auto"/>
            <w:vAlign w:val="center"/>
          </w:tcPr>
          <w:p w14:paraId="7C55043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21.49 </w:t>
            </w:r>
          </w:p>
        </w:tc>
        <w:tc>
          <w:tcPr>
            <w:tcW w:w="591" w:type="pct"/>
            <w:shd w:val="clear" w:color="auto" w:fill="auto"/>
            <w:vAlign w:val="center"/>
          </w:tcPr>
          <w:p w14:paraId="4C89858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8.28 </w:t>
            </w:r>
          </w:p>
        </w:tc>
      </w:tr>
      <w:tr w14:paraId="65CBC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9"/>
            <w:shd w:val="clear" w:color="auto" w:fill="auto"/>
            <w:vAlign w:val="top"/>
          </w:tcPr>
          <w:p w14:paraId="75BEECE9">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b/>
                <w:bCs/>
                <w:color w:val="auto"/>
                <w:kern w:val="2"/>
                <w:sz w:val="21"/>
                <w:szCs w:val="21"/>
                <w:vertAlign w:val="baseline"/>
                <w:lang w:val="en-US" w:eastAsia="zh-CN" w:bidi="ar-SA"/>
              </w:rPr>
              <w:t>减空白介质土壤培养液中</w:t>
            </w:r>
            <w:r>
              <w:rPr>
                <w:rFonts w:hint="eastAsia" w:ascii="Times New Roman" w:hAnsi="Times New Roman" w:eastAsia="宋体" w:cs="Times New Roman"/>
                <w:b/>
                <w:bCs/>
                <w:color w:val="auto"/>
                <w:kern w:val="2"/>
                <w:sz w:val="21"/>
                <w:szCs w:val="21"/>
                <w:vertAlign w:val="baseline"/>
                <w:lang w:val="en-US" w:eastAsia="zh-CN" w:bidi="ar-SA"/>
              </w:rPr>
              <w:t>的硝化潜势差异率（RNP）</w:t>
            </w:r>
          </w:p>
        </w:tc>
      </w:tr>
      <w:tr w14:paraId="4FC24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shd w:val="clear" w:color="auto" w:fill="auto"/>
            <w:vAlign w:val="top"/>
          </w:tcPr>
          <w:p w14:paraId="4DB719D6">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RNP %</w:t>
            </w:r>
          </w:p>
        </w:tc>
        <w:tc>
          <w:tcPr>
            <w:tcW w:w="507" w:type="pct"/>
            <w:shd w:val="clear" w:color="auto" w:fill="auto"/>
            <w:vAlign w:val="top"/>
          </w:tcPr>
          <w:p w14:paraId="1A9ACC4E">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2h-1h</w:t>
            </w:r>
          </w:p>
        </w:tc>
        <w:tc>
          <w:tcPr>
            <w:tcW w:w="566" w:type="pct"/>
            <w:shd w:val="clear" w:color="auto" w:fill="auto"/>
            <w:vAlign w:val="top"/>
          </w:tcPr>
          <w:p w14:paraId="62459078">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3h-1h</w:t>
            </w:r>
          </w:p>
        </w:tc>
        <w:tc>
          <w:tcPr>
            <w:tcW w:w="566" w:type="pct"/>
            <w:shd w:val="clear" w:color="auto" w:fill="auto"/>
            <w:vAlign w:val="top"/>
          </w:tcPr>
          <w:p w14:paraId="300FB3F6">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4h-1h</w:t>
            </w:r>
          </w:p>
        </w:tc>
        <w:tc>
          <w:tcPr>
            <w:tcW w:w="566" w:type="pct"/>
            <w:shd w:val="clear" w:color="auto" w:fill="auto"/>
            <w:vAlign w:val="top"/>
          </w:tcPr>
          <w:p w14:paraId="2130AD5F">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5h-1h</w:t>
            </w:r>
          </w:p>
        </w:tc>
        <w:tc>
          <w:tcPr>
            <w:tcW w:w="566" w:type="pct"/>
            <w:shd w:val="clear" w:color="auto" w:fill="auto"/>
            <w:vAlign w:val="top"/>
          </w:tcPr>
          <w:p w14:paraId="78665046">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6h-1h</w:t>
            </w:r>
          </w:p>
        </w:tc>
        <w:tc>
          <w:tcPr>
            <w:tcW w:w="566" w:type="pct"/>
            <w:shd w:val="clear" w:color="auto" w:fill="auto"/>
            <w:vAlign w:val="top"/>
          </w:tcPr>
          <w:p w14:paraId="1E56CB57">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7h-1h</w:t>
            </w:r>
          </w:p>
        </w:tc>
        <w:tc>
          <w:tcPr>
            <w:tcW w:w="566" w:type="pct"/>
            <w:shd w:val="clear" w:color="auto" w:fill="auto"/>
            <w:vAlign w:val="top"/>
          </w:tcPr>
          <w:p w14:paraId="5884751B">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8h-1h</w:t>
            </w:r>
          </w:p>
        </w:tc>
        <w:tc>
          <w:tcPr>
            <w:tcW w:w="591" w:type="pct"/>
            <w:shd w:val="clear" w:color="auto" w:fill="auto"/>
            <w:vAlign w:val="top"/>
          </w:tcPr>
          <w:p w14:paraId="254130FA">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9h-1h</w:t>
            </w:r>
          </w:p>
        </w:tc>
      </w:tr>
      <w:tr w14:paraId="73032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shd w:val="clear" w:color="auto" w:fill="auto"/>
            <w:vAlign w:val="top"/>
          </w:tcPr>
          <w:p w14:paraId="3BE117DC">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对照1</w:t>
            </w:r>
          </w:p>
        </w:tc>
        <w:tc>
          <w:tcPr>
            <w:tcW w:w="507" w:type="pct"/>
            <w:shd w:val="clear" w:color="auto" w:fill="auto"/>
            <w:vAlign w:val="center"/>
          </w:tcPr>
          <w:p w14:paraId="2C22E4C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180.36 </w:t>
            </w:r>
          </w:p>
        </w:tc>
        <w:tc>
          <w:tcPr>
            <w:tcW w:w="566" w:type="pct"/>
            <w:shd w:val="clear" w:color="auto" w:fill="auto"/>
            <w:vAlign w:val="center"/>
          </w:tcPr>
          <w:p w14:paraId="1882EF6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-115.86 </w:t>
            </w:r>
          </w:p>
        </w:tc>
        <w:tc>
          <w:tcPr>
            <w:tcW w:w="566" w:type="pct"/>
            <w:shd w:val="clear" w:color="auto" w:fill="auto"/>
            <w:vAlign w:val="center"/>
          </w:tcPr>
          <w:p w14:paraId="7458822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0.67 </w:t>
            </w:r>
          </w:p>
        </w:tc>
        <w:tc>
          <w:tcPr>
            <w:tcW w:w="566" w:type="pct"/>
            <w:shd w:val="clear" w:color="auto" w:fill="auto"/>
            <w:vAlign w:val="center"/>
          </w:tcPr>
          <w:p w14:paraId="61C2180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0.69 </w:t>
            </w:r>
          </w:p>
        </w:tc>
        <w:tc>
          <w:tcPr>
            <w:tcW w:w="566" w:type="pct"/>
            <w:shd w:val="clear" w:color="auto" w:fill="auto"/>
            <w:vAlign w:val="center"/>
          </w:tcPr>
          <w:p w14:paraId="4A159A4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-1.79 </w:t>
            </w:r>
          </w:p>
        </w:tc>
        <w:tc>
          <w:tcPr>
            <w:tcW w:w="566" w:type="pct"/>
            <w:shd w:val="clear" w:color="auto" w:fill="auto"/>
            <w:vAlign w:val="center"/>
          </w:tcPr>
          <w:p w14:paraId="15C1A76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4.91 </w:t>
            </w:r>
          </w:p>
        </w:tc>
        <w:tc>
          <w:tcPr>
            <w:tcW w:w="566" w:type="pct"/>
            <w:shd w:val="clear" w:color="auto" w:fill="auto"/>
            <w:vAlign w:val="center"/>
          </w:tcPr>
          <w:p w14:paraId="2EDDB6B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5086.85 </w:t>
            </w:r>
          </w:p>
        </w:tc>
        <w:tc>
          <w:tcPr>
            <w:tcW w:w="591" w:type="pct"/>
            <w:shd w:val="clear" w:color="auto" w:fill="auto"/>
            <w:vAlign w:val="center"/>
          </w:tcPr>
          <w:p w14:paraId="4F365EE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49.85 </w:t>
            </w:r>
          </w:p>
        </w:tc>
      </w:tr>
      <w:tr w14:paraId="1C136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shd w:val="clear" w:color="auto" w:fill="auto"/>
            <w:vAlign w:val="top"/>
          </w:tcPr>
          <w:p w14:paraId="1D848301">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对照2</w:t>
            </w:r>
          </w:p>
        </w:tc>
        <w:tc>
          <w:tcPr>
            <w:tcW w:w="507" w:type="pct"/>
            <w:shd w:val="clear" w:color="auto" w:fill="auto"/>
            <w:vAlign w:val="center"/>
          </w:tcPr>
          <w:p w14:paraId="1C33212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-11.98 </w:t>
            </w:r>
          </w:p>
        </w:tc>
        <w:tc>
          <w:tcPr>
            <w:tcW w:w="566" w:type="pct"/>
            <w:shd w:val="clear" w:color="auto" w:fill="auto"/>
            <w:vAlign w:val="center"/>
          </w:tcPr>
          <w:p w14:paraId="4D979C9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20.76 </w:t>
            </w:r>
          </w:p>
        </w:tc>
        <w:tc>
          <w:tcPr>
            <w:tcW w:w="566" w:type="pct"/>
            <w:shd w:val="clear" w:color="auto" w:fill="auto"/>
            <w:vAlign w:val="center"/>
          </w:tcPr>
          <w:p w14:paraId="7892055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11.62 </w:t>
            </w:r>
          </w:p>
        </w:tc>
        <w:tc>
          <w:tcPr>
            <w:tcW w:w="566" w:type="pct"/>
            <w:shd w:val="clear" w:color="auto" w:fill="auto"/>
            <w:vAlign w:val="center"/>
          </w:tcPr>
          <w:p w14:paraId="496C516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9.21 </w:t>
            </w:r>
          </w:p>
        </w:tc>
        <w:tc>
          <w:tcPr>
            <w:tcW w:w="566" w:type="pct"/>
            <w:shd w:val="clear" w:color="auto" w:fill="auto"/>
            <w:vAlign w:val="center"/>
          </w:tcPr>
          <w:p w14:paraId="0B3278D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8.48 </w:t>
            </w:r>
          </w:p>
        </w:tc>
        <w:tc>
          <w:tcPr>
            <w:tcW w:w="566" w:type="pct"/>
            <w:shd w:val="clear" w:color="auto" w:fill="auto"/>
            <w:vAlign w:val="center"/>
          </w:tcPr>
          <w:p w14:paraId="50670C2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26.29 </w:t>
            </w:r>
          </w:p>
        </w:tc>
        <w:tc>
          <w:tcPr>
            <w:tcW w:w="566" w:type="pct"/>
            <w:shd w:val="clear" w:color="auto" w:fill="auto"/>
            <w:vAlign w:val="center"/>
          </w:tcPr>
          <w:p w14:paraId="420CFB4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69.50 </w:t>
            </w:r>
          </w:p>
        </w:tc>
        <w:tc>
          <w:tcPr>
            <w:tcW w:w="591" w:type="pct"/>
            <w:shd w:val="clear" w:color="auto" w:fill="auto"/>
            <w:vAlign w:val="center"/>
          </w:tcPr>
          <w:p w14:paraId="5537156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55.10 </w:t>
            </w:r>
          </w:p>
        </w:tc>
      </w:tr>
      <w:tr w14:paraId="235D2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shd w:val="clear" w:color="auto" w:fill="auto"/>
            <w:vAlign w:val="top"/>
          </w:tcPr>
          <w:p w14:paraId="6A28E772">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07" w:type="pct"/>
            <w:shd w:val="clear" w:color="auto" w:fill="auto"/>
            <w:vAlign w:val="top"/>
          </w:tcPr>
          <w:p w14:paraId="250424BF">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242F1C87">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3h-2h</w:t>
            </w:r>
          </w:p>
        </w:tc>
        <w:tc>
          <w:tcPr>
            <w:tcW w:w="566" w:type="pct"/>
            <w:shd w:val="clear" w:color="auto" w:fill="auto"/>
            <w:vAlign w:val="top"/>
          </w:tcPr>
          <w:p w14:paraId="5497DF94">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4h-2h</w:t>
            </w:r>
          </w:p>
        </w:tc>
        <w:tc>
          <w:tcPr>
            <w:tcW w:w="566" w:type="pct"/>
            <w:shd w:val="clear" w:color="auto" w:fill="auto"/>
            <w:vAlign w:val="top"/>
          </w:tcPr>
          <w:p w14:paraId="36462A79">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5h-2h</w:t>
            </w:r>
          </w:p>
        </w:tc>
        <w:tc>
          <w:tcPr>
            <w:tcW w:w="566" w:type="pct"/>
            <w:shd w:val="clear" w:color="auto" w:fill="auto"/>
            <w:vAlign w:val="top"/>
          </w:tcPr>
          <w:p w14:paraId="53FD50FB">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6h-2h</w:t>
            </w:r>
          </w:p>
        </w:tc>
        <w:tc>
          <w:tcPr>
            <w:tcW w:w="566" w:type="pct"/>
            <w:shd w:val="clear" w:color="auto" w:fill="auto"/>
            <w:vAlign w:val="top"/>
          </w:tcPr>
          <w:p w14:paraId="064A4307">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7h-2h</w:t>
            </w:r>
          </w:p>
        </w:tc>
        <w:tc>
          <w:tcPr>
            <w:tcW w:w="566" w:type="pct"/>
            <w:shd w:val="clear" w:color="auto" w:fill="auto"/>
            <w:vAlign w:val="top"/>
          </w:tcPr>
          <w:p w14:paraId="55F3ABAF">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8h-2h</w:t>
            </w:r>
          </w:p>
        </w:tc>
        <w:tc>
          <w:tcPr>
            <w:tcW w:w="591" w:type="pct"/>
            <w:shd w:val="clear" w:color="auto" w:fill="auto"/>
            <w:vAlign w:val="top"/>
          </w:tcPr>
          <w:p w14:paraId="3E726667">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9h-2h</w:t>
            </w:r>
          </w:p>
        </w:tc>
      </w:tr>
      <w:tr w14:paraId="50D98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shd w:val="clear" w:color="auto" w:fill="auto"/>
            <w:vAlign w:val="top"/>
          </w:tcPr>
          <w:p w14:paraId="12D4378D">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对照1</w:t>
            </w:r>
          </w:p>
        </w:tc>
        <w:tc>
          <w:tcPr>
            <w:tcW w:w="507" w:type="pct"/>
            <w:shd w:val="clear" w:color="auto" w:fill="auto"/>
            <w:vAlign w:val="top"/>
          </w:tcPr>
          <w:p w14:paraId="3788E89B">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center"/>
          </w:tcPr>
          <w:p w14:paraId="6AA1786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-17.82 </w:t>
            </w:r>
          </w:p>
        </w:tc>
        <w:tc>
          <w:tcPr>
            <w:tcW w:w="566" w:type="pct"/>
            <w:shd w:val="clear" w:color="auto" w:fill="auto"/>
            <w:vAlign w:val="center"/>
          </w:tcPr>
          <w:p w14:paraId="7C38612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8.75 </w:t>
            </w:r>
          </w:p>
        </w:tc>
        <w:tc>
          <w:tcPr>
            <w:tcW w:w="566" w:type="pct"/>
            <w:shd w:val="clear" w:color="auto" w:fill="auto"/>
            <w:vAlign w:val="center"/>
          </w:tcPr>
          <w:p w14:paraId="662A8EF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6.59 </w:t>
            </w:r>
          </w:p>
        </w:tc>
        <w:tc>
          <w:tcPr>
            <w:tcW w:w="566" w:type="pct"/>
            <w:shd w:val="clear" w:color="auto" w:fill="auto"/>
            <w:vAlign w:val="center"/>
          </w:tcPr>
          <w:p w14:paraId="569DD8F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b/>
                <w:bCs/>
                <w:i w:val="0"/>
                <w:iCs w:val="0"/>
                <w:color w:val="auto"/>
                <w:kern w:val="0"/>
                <w:sz w:val="21"/>
                <w:szCs w:val="21"/>
                <w:u w:val="none"/>
                <w:lang w:val="en-US" w:eastAsia="zh-CN" w:bidi="ar"/>
              </w:rPr>
              <w:t xml:space="preserve">2.16 </w:t>
            </w:r>
          </w:p>
        </w:tc>
        <w:tc>
          <w:tcPr>
            <w:tcW w:w="566" w:type="pct"/>
            <w:shd w:val="clear" w:color="auto" w:fill="auto"/>
            <w:vAlign w:val="center"/>
          </w:tcPr>
          <w:p w14:paraId="6121FCA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b/>
                <w:bCs/>
                <w:i w:val="0"/>
                <w:iCs w:val="0"/>
                <w:color w:val="auto"/>
                <w:kern w:val="0"/>
                <w:sz w:val="21"/>
                <w:szCs w:val="21"/>
                <w:u w:val="none"/>
                <w:lang w:val="en-US" w:eastAsia="zh-CN" w:bidi="ar"/>
              </w:rPr>
              <w:t xml:space="preserve">36.72 </w:t>
            </w:r>
          </w:p>
        </w:tc>
        <w:tc>
          <w:tcPr>
            <w:tcW w:w="566" w:type="pct"/>
            <w:shd w:val="clear" w:color="auto" w:fill="auto"/>
            <w:vAlign w:val="center"/>
          </w:tcPr>
          <w:p w14:paraId="17BFEF0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b/>
                <w:bCs/>
                <w:i w:val="0"/>
                <w:iCs w:val="0"/>
                <w:color w:val="auto"/>
                <w:kern w:val="0"/>
                <w:sz w:val="21"/>
                <w:szCs w:val="21"/>
                <w:u w:val="none"/>
                <w:lang w:val="en-US" w:eastAsia="zh-CN" w:bidi="ar"/>
              </w:rPr>
              <w:t xml:space="preserve">-71.71 </w:t>
            </w:r>
          </w:p>
        </w:tc>
        <w:tc>
          <w:tcPr>
            <w:tcW w:w="591" w:type="pct"/>
            <w:shd w:val="clear" w:color="auto" w:fill="auto"/>
            <w:vAlign w:val="center"/>
          </w:tcPr>
          <w:p w14:paraId="5427C65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b/>
                <w:bCs/>
                <w:i w:val="0"/>
                <w:iCs w:val="0"/>
                <w:color w:val="auto"/>
                <w:kern w:val="0"/>
                <w:sz w:val="21"/>
                <w:szCs w:val="21"/>
                <w:u w:val="none"/>
                <w:lang w:val="en-US" w:eastAsia="zh-CN" w:bidi="ar"/>
              </w:rPr>
              <w:t xml:space="preserve">64.53 </w:t>
            </w:r>
          </w:p>
        </w:tc>
      </w:tr>
      <w:tr w14:paraId="4024A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shd w:val="clear" w:color="auto" w:fill="auto"/>
            <w:vAlign w:val="top"/>
          </w:tcPr>
          <w:p w14:paraId="5DCE0E5C">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对照2</w:t>
            </w:r>
          </w:p>
        </w:tc>
        <w:tc>
          <w:tcPr>
            <w:tcW w:w="507" w:type="pct"/>
            <w:shd w:val="clear" w:color="auto" w:fill="auto"/>
            <w:vAlign w:val="top"/>
          </w:tcPr>
          <w:p w14:paraId="7012AE7B">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center"/>
          </w:tcPr>
          <w:p w14:paraId="2290E3B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25.67 </w:t>
            </w:r>
          </w:p>
        </w:tc>
        <w:tc>
          <w:tcPr>
            <w:tcW w:w="566" w:type="pct"/>
            <w:shd w:val="clear" w:color="auto" w:fill="auto"/>
            <w:vAlign w:val="center"/>
          </w:tcPr>
          <w:p w14:paraId="54FF225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12.35 </w:t>
            </w:r>
          </w:p>
        </w:tc>
        <w:tc>
          <w:tcPr>
            <w:tcW w:w="566" w:type="pct"/>
            <w:shd w:val="clear" w:color="auto" w:fill="auto"/>
            <w:vAlign w:val="center"/>
          </w:tcPr>
          <w:p w14:paraId="77FB838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9.69 </w:t>
            </w:r>
          </w:p>
        </w:tc>
        <w:tc>
          <w:tcPr>
            <w:tcW w:w="566" w:type="pct"/>
            <w:shd w:val="clear" w:color="auto" w:fill="auto"/>
            <w:vAlign w:val="center"/>
          </w:tcPr>
          <w:p w14:paraId="29C409B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b/>
                <w:bCs/>
                <w:i w:val="0"/>
                <w:iCs w:val="0"/>
                <w:color w:val="auto"/>
                <w:kern w:val="0"/>
                <w:sz w:val="21"/>
                <w:szCs w:val="21"/>
                <w:u w:val="none"/>
                <w:lang w:val="en-US" w:eastAsia="zh-CN" w:bidi="ar"/>
              </w:rPr>
              <w:t xml:space="preserve">8.78 </w:t>
            </w:r>
          </w:p>
        </w:tc>
        <w:tc>
          <w:tcPr>
            <w:tcW w:w="566" w:type="pct"/>
            <w:shd w:val="clear" w:color="auto" w:fill="auto"/>
            <w:vAlign w:val="center"/>
          </w:tcPr>
          <w:p w14:paraId="3794B5C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b/>
                <w:bCs/>
                <w:i w:val="0"/>
                <w:iCs w:val="0"/>
                <w:color w:val="auto"/>
                <w:kern w:val="0"/>
                <w:sz w:val="21"/>
                <w:szCs w:val="21"/>
                <w:u w:val="none"/>
                <w:lang w:val="en-US" w:eastAsia="zh-CN" w:bidi="ar"/>
              </w:rPr>
              <w:t xml:space="preserve">31.67 </w:t>
            </w:r>
          </w:p>
        </w:tc>
        <w:tc>
          <w:tcPr>
            <w:tcW w:w="566" w:type="pct"/>
            <w:shd w:val="clear" w:color="auto" w:fill="auto"/>
            <w:vAlign w:val="center"/>
          </w:tcPr>
          <w:p w14:paraId="398AAD5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b/>
                <w:bCs/>
                <w:i w:val="0"/>
                <w:iCs w:val="0"/>
                <w:color w:val="auto"/>
                <w:kern w:val="0"/>
                <w:sz w:val="21"/>
                <w:szCs w:val="21"/>
                <w:u w:val="none"/>
                <w:lang w:val="en-US" w:eastAsia="zh-CN" w:bidi="ar"/>
              </w:rPr>
              <w:t xml:space="preserve">77.55 </w:t>
            </w:r>
          </w:p>
        </w:tc>
        <w:tc>
          <w:tcPr>
            <w:tcW w:w="591" w:type="pct"/>
            <w:shd w:val="clear" w:color="auto" w:fill="auto"/>
            <w:vAlign w:val="center"/>
          </w:tcPr>
          <w:p w14:paraId="1493D1C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b/>
                <w:bCs/>
                <w:i w:val="0"/>
                <w:iCs w:val="0"/>
                <w:color w:val="auto"/>
                <w:kern w:val="0"/>
                <w:sz w:val="21"/>
                <w:szCs w:val="21"/>
                <w:u w:val="none"/>
                <w:lang w:val="en-US" w:eastAsia="zh-CN" w:bidi="ar"/>
              </w:rPr>
              <w:t xml:space="preserve">61.05 </w:t>
            </w:r>
          </w:p>
        </w:tc>
      </w:tr>
      <w:tr w14:paraId="4F03C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shd w:val="clear" w:color="auto" w:fill="auto"/>
            <w:vAlign w:val="top"/>
          </w:tcPr>
          <w:p w14:paraId="331213B3">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07" w:type="pct"/>
            <w:shd w:val="clear" w:color="auto" w:fill="auto"/>
            <w:vAlign w:val="top"/>
          </w:tcPr>
          <w:p w14:paraId="2F1E7ABE">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6A45960B">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33179E7A">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4h-3h</w:t>
            </w:r>
          </w:p>
        </w:tc>
        <w:tc>
          <w:tcPr>
            <w:tcW w:w="566" w:type="pct"/>
            <w:shd w:val="clear" w:color="auto" w:fill="auto"/>
            <w:vAlign w:val="top"/>
          </w:tcPr>
          <w:p w14:paraId="40F844BA">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5h-3h</w:t>
            </w:r>
          </w:p>
        </w:tc>
        <w:tc>
          <w:tcPr>
            <w:tcW w:w="566" w:type="pct"/>
            <w:shd w:val="clear" w:color="auto" w:fill="auto"/>
            <w:vAlign w:val="top"/>
          </w:tcPr>
          <w:p w14:paraId="461F74DB">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6h-3h</w:t>
            </w:r>
          </w:p>
        </w:tc>
        <w:tc>
          <w:tcPr>
            <w:tcW w:w="566" w:type="pct"/>
            <w:shd w:val="clear" w:color="auto" w:fill="auto"/>
            <w:vAlign w:val="top"/>
          </w:tcPr>
          <w:p w14:paraId="03A564A5">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7h-3h</w:t>
            </w:r>
          </w:p>
        </w:tc>
        <w:tc>
          <w:tcPr>
            <w:tcW w:w="566" w:type="pct"/>
            <w:shd w:val="clear" w:color="auto" w:fill="auto"/>
            <w:vAlign w:val="top"/>
          </w:tcPr>
          <w:p w14:paraId="782766FC">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8h-3h</w:t>
            </w:r>
          </w:p>
        </w:tc>
        <w:tc>
          <w:tcPr>
            <w:tcW w:w="591" w:type="pct"/>
            <w:shd w:val="clear" w:color="auto" w:fill="auto"/>
            <w:vAlign w:val="top"/>
          </w:tcPr>
          <w:p w14:paraId="44E2A51E">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9h-3h</w:t>
            </w:r>
          </w:p>
        </w:tc>
      </w:tr>
      <w:tr w14:paraId="3FE54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shd w:val="clear" w:color="auto" w:fill="auto"/>
            <w:vAlign w:val="top"/>
          </w:tcPr>
          <w:p w14:paraId="2C310C8D">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对照1</w:t>
            </w:r>
          </w:p>
        </w:tc>
        <w:tc>
          <w:tcPr>
            <w:tcW w:w="507" w:type="pct"/>
            <w:shd w:val="clear" w:color="auto" w:fill="auto"/>
            <w:vAlign w:val="top"/>
          </w:tcPr>
          <w:p w14:paraId="676E2F35">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3DCAE761">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center"/>
          </w:tcPr>
          <w:p w14:paraId="50D8D0E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12.93 </w:t>
            </w:r>
          </w:p>
        </w:tc>
        <w:tc>
          <w:tcPr>
            <w:tcW w:w="566" w:type="pct"/>
            <w:shd w:val="clear" w:color="auto" w:fill="auto"/>
            <w:vAlign w:val="center"/>
          </w:tcPr>
          <w:p w14:paraId="1F37800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9.28 </w:t>
            </w:r>
          </w:p>
        </w:tc>
        <w:tc>
          <w:tcPr>
            <w:tcW w:w="566" w:type="pct"/>
            <w:shd w:val="clear" w:color="auto" w:fill="auto"/>
            <w:vAlign w:val="center"/>
          </w:tcPr>
          <w:p w14:paraId="41B8339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3.56 </w:t>
            </w:r>
          </w:p>
        </w:tc>
        <w:tc>
          <w:tcPr>
            <w:tcW w:w="566" w:type="pct"/>
            <w:shd w:val="clear" w:color="auto" w:fill="auto"/>
            <w:vAlign w:val="center"/>
          </w:tcPr>
          <w:p w14:paraId="213783D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102.82 </w:t>
            </w:r>
          </w:p>
        </w:tc>
        <w:tc>
          <w:tcPr>
            <w:tcW w:w="566" w:type="pct"/>
            <w:shd w:val="clear" w:color="auto" w:fill="auto"/>
            <w:vAlign w:val="center"/>
          </w:tcPr>
          <w:p w14:paraId="6B658FA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6.93 </w:t>
            </w:r>
          </w:p>
        </w:tc>
        <w:tc>
          <w:tcPr>
            <w:tcW w:w="591" w:type="pct"/>
            <w:shd w:val="clear" w:color="auto" w:fill="auto"/>
            <w:vAlign w:val="center"/>
          </w:tcPr>
          <w:p w14:paraId="50D7ADB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106.90 </w:t>
            </w:r>
          </w:p>
        </w:tc>
      </w:tr>
      <w:tr w14:paraId="77556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shd w:val="clear" w:color="auto" w:fill="auto"/>
            <w:vAlign w:val="top"/>
          </w:tcPr>
          <w:p w14:paraId="355D6C1D">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对照2</w:t>
            </w:r>
          </w:p>
        </w:tc>
        <w:tc>
          <w:tcPr>
            <w:tcW w:w="507" w:type="pct"/>
            <w:shd w:val="clear" w:color="auto" w:fill="auto"/>
            <w:vAlign w:val="top"/>
          </w:tcPr>
          <w:p w14:paraId="2960226B">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2CF118FE">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center"/>
          </w:tcPr>
          <w:p w14:paraId="6C5353A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8.88 </w:t>
            </w:r>
          </w:p>
        </w:tc>
        <w:tc>
          <w:tcPr>
            <w:tcW w:w="566" w:type="pct"/>
            <w:shd w:val="clear" w:color="auto" w:fill="auto"/>
            <w:vAlign w:val="center"/>
          </w:tcPr>
          <w:p w14:paraId="572A138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6.83 </w:t>
            </w:r>
          </w:p>
        </w:tc>
        <w:tc>
          <w:tcPr>
            <w:tcW w:w="566" w:type="pct"/>
            <w:shd w:val="clear" w:color="auto" w:fill="auto"/>
            <w:vAlign w:val="center"/>
          </w:tcPr>
          <w:p w14:paraId="2DDC24B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6.97 </w:t>
            </w:r>
          </w:p>
        </w:tc>
        <w:tc>
          <w:tcPr>
            <w:tcW w:w="566" w:type="pct"/>
            <w:shd w:val="clear" w:color="auto" w:fill="auto"/>
            <w:vAlign w:val="center"/>
          </w:tcPr>
          <w:p w14:paraId="24FC2F4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122.07 </w:t>
            </w:r>
          </w:p>
        </w:tc>
        <w:tc>
          <w:tcPr>
            <w:tcW w:w="566" w:type="pct"/>
            <w:shd w:val="clear" w:color="auto" w:fill="auto"/>
            <w:vAlign w:val="center"/>
          </w:tcPr>
          <w:p w14:paraId="368E6A6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177.57 </w:t>
            </w:r>
          </w:p>
        </w:tc>
        <w:tc>
          <w:tcPr>
            <w:tcW w:w="591" w:type="pct"/>
            <w:shd w:val="clear" w:color="auto" w:fill="auto"/>
            <w:vAlign w:val="center"/>
          </w:tcPr>
          <w:p w14:paraId="075D0D5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112.25 </w:t>
            </w:r>
          </w:p>
        </w:tc>
      </w:tr>
      <w:tr w14:paraId="522E0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shd w:val="clear" w:color="auto" w:fill="auto"/>
            <w:vAlign w:val="top"/>
          </w:tcPr>
          <w:p w14:paraId="08383478">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07" w:type="pct"/>
            <w:shd w:val="clear" w:color="auto" w:fill="auto"/>
            <w:vAlign w:val="top"/>
          </w:tcPr>
          <w:p w14:paraId="10AF0403">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70A0BDDF">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58CDE883">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09AF11BD">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5h-4h</w:t>
            </w:r>
          </w:p>
        </w:tc>
        <w:tc>
          <w:tcPr>
            <w:tcW w:w="566" w:type="pct"/>
            <w:shd w:val="clear" w:color="auto" w:fill="auto"/>
            <w:vAlign w:val="top"/>
          </w:tcPr>
          <w:p w14:paraId="50F8DC4C">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6h-4h</w:t>
            </w:r>
          </w:p>
        </w:tc>
        <w:tc>
          <w:tcPr>
            <w:tcW w:w="566" w:type="pct"/>
            <w:shd w:val="clear" w:color="auto" w:fill="auto"/>
            <w:vAlign w:val="top"/>
          </w:tcPr>
          <w:p w14:paraId="341AA57A">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7h-4h</w:t>
            </w:r>
          </w:p>
        </w:tc>
        <w:tc>
          <w:tcPr>
            <w:tcW w:w="566" w:type="pct"/>
            <w:shd w:val="clear" w:color="auto" w:fill="auto"/>
            <w:vAlign w:val="top"/>
          </w:tcPr>
          <w:p w14:paraId="160ADBB6">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8h-4h</w:t>
            </w:r>
          </w:p>
        </w:tc>
        <w:tc>
          <w:tcPr>
            <w:tcW w:w="591" w:type="pct"/>
            <w:shd w:val="clear" w:color="auto" w:fill="auto"/>
            <w:vAlign w:val="top"/>
          </w:tcPr>
          <w:p w14:paraId="5531D672">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9h-4h</w:t>
            </w:r>
          </w:p>
        </w:tc>
      </w:tr>
      <w:tr w14:paraId="3FF80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shd w:val="clear" w:color="auto" w:fill="auto"/>
            <w:vAlign w:val="top"/>
          </w:tcPr>
          <w:p w14:paraId="08FFD2F0">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对照1</w:t>
            </w:r>
          </w:p>
        </w:tc>
        <w:tc>
          <w:tcPr>
            <w:tcW w:w="507" w:type="pct"/>
            <w:shd w:val="clear" w:color="auto" w:fill="auto"/>
            <w:vAlign w:val="top"/>
          </w:tcPr>
          <w:p w14:paraId="3A4BCD83">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5C0C3A7D">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11252A0F">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center"/>
          </w:tcPr>
          <w:p w14:paraId="36DB850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0.74 </w:t>
            </w:r>
          </w:p>
        </w:tc>
        <w:tc>
          <w:tcPr>
            <w:tcW w:w="566" w:type="pct"/>
            <w:shd w:val="clear" w:color="auto" w:fill="auto"/>
            <w:vAlign w:val="center"/>
          </w:tcPr>
          <w:p w14:paraId="29D6AD4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-3.96 </w:t>
            </w:r>
          </w:p>
        </w:tc>
        <w:tc>
          <w:tcPr>
            <w:tcW w:w="566" w:type="pct"/>
            <w:shd w:val="clear" w:color="auto" w:fill="auto"/>
            <w:vAlign w:val="center"/>
          </w:tcPr>
          <w:p w14:paraId="77552B4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-0.48 </w:t>
            </w:r>
          </w:p>
        </w:tc>
        <w:tc>
          <w:tcPr>
            <w:tcW w:w="566" w:type="pct"/>
            <w:shd w:val="clear" w:color="auto" w:fill="auto"/>
            <w:vAlign w:val="center"/>
          </w:tcPr>
          <w:p w14:paraId="6E35A5C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12.34 </w:t>
            </w:r>
          </w:p>
        </w:tc>
        <w:tc>
          <w:tcPr>
            <w:tcW w:w="591" w:type="pct"/>
            <w:shd w:val="clear" w:color="auto" w:fill="auto"/>
            <w:vAlign w:val="center"/>
          </w:tcPr>
          <w:p w14:paraId="6B8C40B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-28.43 </w:t>
            </w:r>
          </w:p>
        </w:tc>
      </w:tr>
      <w:tr w14:paraId="17753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shd w:val="clear" w:color="auto" w:fill="auto"/>
            <w:vAlign w:val="top"/>
          </w:tcPr>
          <w:p w14:paraId="30901F02">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对照2</w:t>
            </w:r>
          </w:p>
        </w:tc>
        <w:tc>
          <w:tcPr>
            <w:tcW w:w="507" w:type="pct"/>
            <w:shd w:val="clear" w:color="auto" w:fill="auto"/>
            <w:vAlign w:val="top"/>
          </w:tcPr>
          <w:p w14:paraId="5DD8FE4F">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49AEFDC0">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61A61E75">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center"/>
          </w:tcPr>
          <w:p w14:paraId="02D7C48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2.31 </w:t>
            </w:r>
          </w:p>
        </w:tc>
        <w:tc>
          <w:tcPr>
            <w:tcW w:w="566" w:type="pct"/>
            <w:shd w:val="clear" w:color="auto" w:fill="auto"/>
            <w:vAlign w:val="center"/>
          </w:tcPr>
          <w:p w14:paraId="78A4B24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5.64 </w:t>
            </w:r>
          </w:p>
        </w:tc>
        <w:tc>
          <w:tcPr>
            <w:tcW w:w="566" w:type="pct"/>
            <w:shd w:val="clear" w:color="auto" w:fill="auto"/>
            <w:vAlign w:val="center"/>
          </w:tcPr>
          <w:p w14:paraId="6D17A4F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6.88 </w:t>
            </w:r>
          </w:p>
        </w:tc>
        <w:tc>
          <w:tcPr>
            <w:tcW w:w="566" w:type="pct"/>
            <w:shd w:val="clear" w:color="auto" w:fill="auto"/>
            <w:vAlign w:val="center"/>
          </w:tcPr>
          <w:p w14:paraId="06F03BF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-17.52 </w:t>
            </w:r>
          </w:p>
        </w:tc>
        <w:tc>
          <w:tcPr>
            <w:tcW w:w="591" w:type="pct"/>
            <w:shd w:val="clear" w:color="auto" w:fill="auto"/>
            <w:vAlign w:val="center"/>
          </w:tcPr>
          <w:p w14:paraId="15583F1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-13.85 </w:t>
            </w:r>
          </w:p>
        </w:tc>
      </w:tr>
      <w:tr w14:paraId="34F50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shd w:val="clear" w:color="auto" w:fill="auto"/>
            <w:vAlign w:val="top"/>
          </w:tcPr>
          <w:p w14:paraId="4E959A07">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07" w:type="pct"/>
            <w:shd w:val="clear" w:color="auto" w:fill="auto"/>
            <w:vAlign w:val="top"/>
          </w:tcPr>
          <w:p w14:paraId="36CE1DA9">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1A6DE9FB">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0B5F8F88">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51DEB18A">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4DE191A0">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6h-5h</w:t>
            </w:r>
          </w:p>
        </w:tc>
        <w:tc>
          <w:tcPr>
            <w:tcW w:w="566" w:type="pct"/>
            <w:shd w:val="clear" w:color="auto" w:fill="auto"/>
            <w:vAlign w:val="top"/>
          </w:tcPr>
          <w:p w14:paraId="6917FA47">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7h-5h</w:t>
            </w:r>
          </w:p>
        </w:tc>
        <w:tc>
          <w:tcPr>
            <w:tcW w:w="566" w:type="pct"/>
            <w:shd w:val="clear" w:color="auto" w:fill="auto"/>
            <w:vAlign w:val="top"/>
          </w:tcPr>
          <w:p w14:paraId="326966BB">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8h-5h</w:t>
            </w:r>
          </w:p>
        </w:tc>
        <w:tc>
          <w:tcPr>
            <w:tcW w:w="591" w:type="pct"/>
            <w:shd w:val="clear" w:color="auto" w:fill="auto"/>
            <w:vAlign w:val="top"/>
          </w:tcPr>
          <w:p w14:paraId="138C4DDF">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9h-5h</w:t>
            </w:r>
          </w:p>
        </w:tc>
      </w:tr>
      <w:tr w14:paraId="55D2F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503" w:type="pct"/>
            <w:shd w:val="clear" w:color="auto" w:fill="auto"/>
            <w:vAlign w:val="top"/>
          </w:tcPr>
          <w:p w14:paraId="2F3CAAD7">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对照1</w:t>
            </w:r>
          </w:p>
        </w:tc>
        <w:tc>
          <w:tcPr>
            <w:tcW w:w="507" w:type="pct"/>
            <w:shd w:val="clear" w:color="auto" w:fill="auto"/>
            <w:vAlign w:val="top"/>
          </w:tcPr>
          <w:p w14:paraId="4EC34E08">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142E80BE">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429A8EED">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4525F9D3">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center"/>
          </w:tcPr>
          <w:p w14:paraId="427F55A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-6.42 </w:t>
            </w:r>
          </w:p>
        </w:tc>
        <w:tc>
          <w:tcPr>
            <w:tcW w:w="566" w:type="pct"/>
            <w:shd w:val="clear" w:color="auto" w:fill="auto"/>
            <w:vAlign w:val="center"/>
          </w:tcPr>
          <w:p w14:paraId="72B8BD4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-0.08 </w:t>
            </w:r>
          </w:p>
        </w:tc>
        <w:tc>
          <w:tcPr>
            <w:tcW w:w="566" w:type="pct"/>
            <w:shd w:val="clear" w:color="auto" w:fill="auto"/>
            <w:vAlign w:val="center"/>
          </w:tcPr>
          <w:p w14:paraId="275F08C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9.11 </w:t>
            </w:r>
          </w:p>
        </w:tc>
        <w:tc>
          <w:tcPr>
            <w:tcW w:w="591" w:type="pct"/>
            <w:shd w:val="clear" w:color="auto" w:fill="auto"/>
            <w:vAlign w:val="center"/>
          </w:tcPr>
          <w:p w14:paraId="35E30C4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-17.32 </w:t>
            </w:r>
          </w:p>
        </w:tc>
      </w:tr>
      <w:tr w14:paraId="08A7E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shd w:val="clear" w:color="auto" w:fill="auto"/>
            <w:vAlign w:val="top"/>
          </w:tcPr>
          <w:p w14:paraId="59AEB49B">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对照2</w:t>
            </w:r>
          </w:p>
        </w:tc>
        <w:tc>
          <w:tcPr>
            <w:tcW w:w="507" w:type="pct"/>
            <w:shd w:val="clear" w:color="auto" w:fill="auto"/>
            <w:vAlign w:val="top"/>
          </w:tcPr>
          <w:p w14:paraId="0F98FE12">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1D8F9FFD">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1037B8FC">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118A0AE3">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center"/>
          </w:tcPr>
          <w:p w14:paraId="5C89513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7.18 </w:t>
            </w:r>
          </w:p>
        </w:tc>
        <w:tc>
          <w:tcPr>
            <w:tcW w:w="566" w:type="pct"/>
            <w:shd w:val="clear" w:color="auto" w:fill="auto"/>
            <w:vAlign w:val="center"/>
          </w:tcPr>
          <w:p w14:paraId="57AF021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5.44 </w:t>
            </w:r>
          </w:p>
        </w:tc>
        <w:tc>
          <w:tcPr>
            <w:tcW w:w="566" w:type="pct"/>
            <w:shd w:val="clear" w:color="auto" w:fill="auto"/>
            <w:vAlign w:val="center"/>
          </w:tcPr>
          <w:p w14:paraId="632FF8D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-10.68 </w:t>
            </w:r>
          </w:p>
        </w:tc>
        <w:tc>
          <w:tcPr>
            <w:tcW w:w="591" w:type="pct"/>
            <w:shd w:val="clear" w:color="auto" w:fill="auto"/>
            <w:vAlign w:val="center"/>
          </w:tcPr>
          <w:p w14:paraId="1033BF9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-8.08 </w:t>
            </w:r>
          </w:p>
        </w:tc>
      </w:tr>
      <w:tr w14:paraId="3EE30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shd w:val="clear" w:color="auto" w:fill="auto"/>
            <w:vAlign w:val="top"/>
          </w:tcPr>
          <w:p w14:paraId="4DFC7323">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07" w:type="pct"/>
            <w:shd w:val="clear" w:color="auto" w:fill="auto"/>
            <w:vAlign w:val="top"/>
          </w:tcPr>
          <w:p w14:paraId="1B250A7F">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71228C9E">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04989C23">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344412BD">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2DF76386">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63861C98">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7h-6h</w:t>
            </w:r>
          </w:p>
        </w:tc>
        <w:tc>
          <w:tcPr>
            <w:tcW w:w="566" w:type="pct"/>
            <w:shd w:val="clear" w:color="auto" w:fill="auto"/>
            <w:vAlign w:val="top"/>
          </w:tcPr>
          <w:p w14:paraId="6BC99023">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8h-6h</w:t>
            </w:r>
          </w:p>
        </w:tc>
        <w:tc>
          <w:tcPr>
            <w:tcW w:w="591" w:type="pct"/>
            <w:shd w:val="clear" w:color="auto" w:fill="auto"/>
            <w:vAlign w:val="top"/>
          </w:tcPr>
          <w:p w14:paraId="22F107FC">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9h-6h</w:t>
            </w:r>
          </w:p>
        </w:tc>
      </w:tr>
      <w:tr w14:paraId="306C7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shd w:val="clear" w:color="auto" w:fill="auto"/>
            <w:vAlign w:val="top"/>
          </w:tcPr>
          <w:p w14:paraId="5D03BED9">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对照1</w:t>
            </w:r>
          </w:p>
        </w:tc>
        <w:tc>
          <w:tcPr>
            <w:tcW w:w="507" w:type="pct"/>
            <w:shd w:val="clear" w:color="auto" w:fill="auto"/>
            <w:vAlign w:val="top"/>
          </w:tcPr>
          <w:p w14:paraId="5E7EEB5A">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1687EBDA">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749D1CCB">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7D6B4B3E">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78951AB9">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center"/>
          </w:tcPr>
          <w:p w14:paraId="3E024C4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-2.53 </w:t>
            </w:r>
          </w:p>
        </w:tc>
        <w:tc>
          <w:tcPr>
            <w:tcW w:w="566" w:type="pct"/>
            <w:shd w:val="clear" w:color="auto" w:fill="auto"/>
            <w:vAlign w:val="center"/>
          </w:tcPr>
          <w:p w14:paraId="114625D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3.71 </w:t>
            </w:r>
          </w:p>
        </w:tc>
        <w:tc>
          <w:tcPr>
            <w:tcW w:w="591" w:type="pct"/>
            <w:shd w:val="clear" w:color="auto" w:fill="auto"/>
            <w:vAlign w:val="center"/>
          </w:tcPr>
          <w:p w14:paraId="28F0F04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-12.72 </w:t>
            </w:r>
          </w:p>
        </w:tc>
      </w:tr>
      <w:tr w14:paraId="667CC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shd w:val="clear" w:color="auto" w:fill="auto"/>
            <w:vAlign w:val="top"/>
          </w:tcPr>
          <w:p w14:paraId="5AA0E7A0">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对照2</w:t>
            </w:r>
          </w:p>
        </w:tc>
        <w:tc>
          <w:tcPr>
            <w:tcW w:w="507" w:type="pct"/>
            <w:shd w:val="clear" w:color="auto" w:fill="auto"/>
            <w:vAlign w:val="top"/>
          </w:tcPr>
          <w:p w14:paraId="2456EE06">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5D5E8AC2">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35549E73">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1473C156">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top"/>
          </w:tcPr>
          <w:p w14:paraId="2C3CF1C6">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kern w:val="2"/>
                <w:sz w:val="21"/>
                <w:szCs w:val="21"/>
                <w:vertAlign w:val="baseline"/>
                <w:lang w:val="en-US" w:eastAsia="zh-CN" w:bidi="ar-SA"/>
              </w:rPr>
            </w:pPr>
          </w:p>
        </w:tc>
        <w:tc>
          <w:tcPr>
            <w:tcW w:w="566" w:type="pct"/>
            <w:shd w:val="clear" w:color="auto" w:fill="auto"/>
            <w:vAlign w:val="center"/>
          </w:tcPr>
          <w:p w14:paraId="24B8225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6.15 </w:t>
            </w:r>
          </w:p>
        </w:tc>
        <w:tc>
          <w:tcPr>
            <w:tcW w:w="566" w:type="pct"/>
            <w:shd w:val="clear" w:color="auto" w:fill="auto"/>
            <w:vAlign w:val="center"/>
          </w:tcPr>
          <w:p w14:paraId="67489AE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-3.06 </w:t>
            </w:r>
          </w:p>
        </w:tc>
        <w:tc>
          <w:tcPr>
            <w:tcW w:w="591" w:type="pct"/>
            <w:shd w:val="clear" w:color="auto" w:fill="auto"/>
            <w:vAlign w:val="center"/>
          </w:tcPr>
          <w:p w14:paraId="1D74304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-1.44 </w:t>
            </w:r>
          </w:p>
        </w:tc>
      </w:tr>
    </w:tbl>
    <w:p w14:paraId="1F93415F">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lang w:val="en-US" w:eastAsia="zh-CN"/>
        </w:rPr>
      </w:pPr>
    </w:p>
    <w:p w14:paraId="5792DB4A">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0" w:firstLineChars="0"/>
        <w:textAlignment w:val="auto"/>
        <w:rPr>
          <w:rFonts w:hint="default" w:ascii="Times New Roman" w:hAnsi="Times New Roman" w:eastAsia="宋体" w:cs="Times New Roman"/>
          <w:b/>
          <w:bCs w:val="0"/>
          <w:sz w:val="24"/>
          <w:szCs w:val="24"/>
          <w:lang w:val="en-US" w:eastAsia="zh-CN"/>
        </w:rPr>
      </w:pPr>
      <w:r>
        <w:rPr>
          <w:rFonts w:hint="eastAsia" w:ascii="Times New Roman" w:hAnsi="Times New Roman" w:eastAsia="宋体" w:cs="Times New Roman"/>
          <w:b/>
          <w:bCs w:val="0"/>
          <w:color w:val="auto"/>
          <w:sz w:val="24"/>
          <w:szCs w:val="24"/>
          <w:lang w:val="en-US" w:eastAsia="zh-CN"/>
        </w:rPr>
        <w:t>6 优化后硝化潜势测定方法</w:t>
      </w:r>
      <w:r>
        <w:rPr>
          <w:rFonts w:hint="eastAsia" w:ascii="Times New Roman" w:hAnsi="Times New Roman" w:eastAsia="宋体" w:cs="Times New Roman"/>
          <w:b/>
          <w:bCs w:val="0"/>
          <w:sz w:val="24"/>
          <w:szCs w:val="24"/>
          <w:lang w:val="en-US" w:eastAsia="zh-CN"/>
        </w:rPr>
        <w:t>的验证</w:t>
      </w:r>
    </w:p>
    <w:p w14:paraId="3665854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6.1 材料与方法</w:t>
      </w:r>
    </w:p>
    <w:p w14:paraId="46A70B1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kern w:val="2"/>
          <w:sz w:val="24"/>
          <w:szCs w:val="24"/>
          <w:lang w:val="en-US" w:eastAsia="zh-CN" w:bidi="ar-SA"/>
        </w:rPr>
        <w:t>6.1.1</w:t>
      </w:r>
      <w:r>
        <w:rPr>
          <w:rFonts w:hint="eastAsia" w:ascii="Times New Roman" w:hAnsi="Times New Roman" w:eastAsia="宋体" w:cs="Times New Roman"/>
          <w:sz w:val="24"/>
          <w:szCs w:val="24"/>
          <w:lang w:val="en-US" w:eastAsia="zh-CN"/>
        </w:rPr>
        <w:t>供试肥料</w:t>
      </w:r>
    </w:p>
    <w:p w14:paraId="0319D7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同4.1.1中表9。</w:t>
      </w:r>
    </w:p>
    <w:p w14:paraId="08F835B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FF0000"/>
          <w:sz w:val="24"/>
          <w:szCs w:val="24"/>
          <w:lang w:val="en-US" w:eastAsia="zh-CN"/>
        </w:rPr>
      </w:pPr>
      <w:r>
        <w:rPr>
          <w:rFonts w:hint="eastAsia" w:ascii="Times New Roman" w:hAnsi="Times New Roman" w:eastAsia="宋体" w:cs="Times New Roman"/>
          <w:sz w:val="24"/>
          <w:szCs w:val="24"/>
          <w:lang w:val="en-US" w:eastAsia="zh-CN"/>
        </w:rPr>
        <w:t>6.1.2 供试土壤：棕壤、红壤、黑土、灌漠土、白浆土</w:t>
      </w:r>
    </w:p>
    <w:p w14:paraId="7C031F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6.1.3 肥料引起的硝化潜势差异测定和计算方法</w:t>
      </w:r>
    </w:p>
    <w:p w14:paraId="7B80365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76" w:firstLineChars="200"/>
        <w:jc w:val="left"/>
        <w:textAlignment w:val="baseline"/>
        <w:outlineLvl w:val="0"/>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bCs/>
          <w:snapToGrid w:val="0"/>
          <w:color w:val="auto"/>
          <w:spacing w:val="-1"/>
          <w:kern w:val="0"/>
          <w:sz w:val="24"/>
          <w:szCs w:val="24"/>
          <w:lang w:val="en-US" w:eastAsia="zh-CN"/>
        </w:rPr>
        <w:t>按照GBT 41223-2021《土壤质量 硝化潜势和硝化抑制作用的测定 氨氧化快速检测法》中的培养步骤和结果计算步骤，开展土壤硝化潜势的测定。同时，按照GBT42485-2023 《土壤质量 土壤硝态氮、亚硝态氮和铵态氮的测定》中的方法测定亚硝态氮含量。具体步骤如下。</w:t>
      </w:r>
    </w:p>
    <w:p w14:paraId="4ECB87E4">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6.1.3.1 试剂和材料</w:t>
      </w:r>
    </w:p>
    <w:p w14:paraId="31117FA9">
      <w:pPr>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ascii="Times New Roman" w:hAnsi="Times New Roman" w:eastAsia="宋体" w:cs="Times New Roman"/>
          <w:color w:val="auto"/>
          <w:sz w:val="24"/>
          <w:szCs w:val="24"/>
        </w:rPr>
      </w:pPr>
      <w:r>
        <w:rPr>
          <w:rFonts w:hint="eastAsia" w:eastAsia="宋体"/>
          <w:color w:val="auto"/>
          <w:sz w:val="24"/>
          <w:szCs w:val="24"/>
          <w:lang w:eastAsia="zh-CN"/>
        </w:rPr>
        <w:t>（</w:t>
      </w:r>
      <w:r>
        <w:rPr>
          <w:rFonts w:hint="eastAsia" w:eastAsia="宋体"/>
          <w:color w:val="auto"/>
          <w:sz w:val="24"/>
          <w:szCs w:val="24"/>
          <w:lang w:val="en-US" w:eastAsia="zh-CN"/>
        </w:rPr>
        <w:t>1</w:t>
      </w:r>
      <w:r>
        <w:rPr>
          <w:rFonts w:hint="eastAsia" w:eastAsia="宋体"/>
          <w:color w:val="auto"/>
          <w:sz w:val="24"/>
          <w:szCs w:val="24"/>
          <w:lang w:eastAsia="zh-CN"/>
        </w:rPr>
        <w:t>）</w:t>
      </w:r>
      <w:r>
        <w:rPr>
          <w:rFonts w:hint="eastAsia" w:ascii="Times New Roman" w:hAnsi="Times New Roman" w:eastAsia="宋体" w:cs="Times New Roman"/>
          <w:color w:val="auto"/>
          <w:sz w:val="24"/>
          <w:szCs w:val="24"/>
        </w:rPr>
        <w:t>肥料工作</w:t>
      </w:r>
      <w:r>
        <w:rPr>
          <w:rFonts w:ascii="Times New Roman" w:hAnsi="Times New Roman" w:eastAsia="宋体" w:cs="Times New Roman"/>
          <w:color w:val="auto"/>
          <w:sz w:val="24"/>
          <w:szCs w:val="24"/>
        </w:rPr>
        <w:t>溶液：按表</w:t>
      </w:r>
      <w:r>
        <w:rPr>
          <w:rFonts w:hint="eastAsia" w:ascii="Times New Roman" w:hAnsi="Times New Roman" w:eastAsia="宋体" w:cs="Times New Roman"/>
          <w:color w:val="auto"/>
          <w:sz w:val="24"/>
          <w:szCs w:val="24"/>
          <w:lang w:val="en-US" w:eastAsia="zh-CN"/>
        </w:rPr>
        <w:t>10</w:t>
      </w:r>
      <w:r>
        <w:rPr>
          <w:rFonts w:ascii="Times New Roman" w:hAnsi="Times New Roman" w:eastAsia="宋体" w:cs="Times New Roman"/>
          <w:color w:val="auto"/>
          <w:sz w:val="24"/>
          <w:szCs w:val="24"/>
        </w:rPr>
        <w:t>称取各试剂，溶解后定容于1000</w:t>
      </w:r>
      <w:r>
        <w:rPr>
          <w:rFonts w:hint="eastAsia" w:ascii="Times New Roman" w:hAnsi="Times New Roman" w:eastAsia="宋体" w:cs="Times New Roman"/>
          <w:color w:val="auto"/>
          <w:sz w:val="24"/>
          <w:szCs w:val="24"/>
          <w:lang w:val="en-US" w:eastAsia="zh-CN"/>
        </w:rPr>
        <w:t xml:space="preserve"> </w:t>
      </w:r>
      <w:r>
        <w:rPr>
          <w:rFonts w:ascii="Times New Roman" w:hAnsi="Times New Roman" w:eastAsia="宋体" w:cs="Times New Roman"/>
          <w:color w:val="auto"/>
          <w:sz w:val="24"/>
          <w:szCs w:val="24"/>
        </w:rPr>
        <w:t>ml容量瓶中，</w:t>
      </w:r>
      <w:r>
        <w:rPr>
          <w:rFonts w:hint="eastAsia" w:ascii="Times New Roman" w:hAnsi="Times New Roman" w:eastAsia="宋体" w:cs="Times New Roman"/>
          <w:color w:val="auto"/>
          <w:sz w:val="24"/>
          <w:szCs w:val="24"/>
        </w:rPr>
        <w:t>获得</w:t>
      </w:r>
      <w:r>
        <w:rPr>
          <w:rFonts w:hint="eastAsia" w:ascii="Times New Roman" w:hAnsi="Times New Roman" w:eastAsia="宋体" w:cs="Times New Roman"/>
          <w:color w:val="auto"/>
          <w:sz w:val="24"/>
          <w:szCs w:val="24"/>
          <w:lang w:val="en-US" w:eastAsia="zh-CN"/>
        </w:rPr>
        <w:t>含</w:t>
      </w:r>
      <w:r>
        <w:rPr>
          <w:rFonts w:hint="eastAsia" w:ascii="宋体" w:hAnsi="宋体" w:eastAsia="宋体" w:cs="Times New Roman"/>
          <w:color w:val="auto"/>
          <w:sz w:val="24"/>
          <w:szCs w:val="24"/>
          <w:lang w:val="en-US" w:eastAsia="zh-CN"/>
        </w:rPr>
        <w:t>14 g N/L</w:t>
      </w:r>
      <w:r>
        <w:rPr>
          <w:rFonts w:hint="eastAsia" w:ascii="Times New Roman" w:hAnsi="Times New Roman" w:eastAsia="宋体" w:cs="Times New Roman"/>
          <w:color w:val="auto"/>
          <w:sz w:val="24"/>
          <w:szCs w:val="24"/>
          <w:lang w:val="en-US" w:eastAsia="zh-CN"/>
        </w:rPr>
        <w:t>的肥料</w:t>
      </w:r>
      <w:r>
        <w:rPr>
          <w:rFonts w:hint="eastAsia" w:ascii="Times New Roman" w:hAnsi="Times New Roman" w:eastAsia="宋体" w:cs="Times New Roman"/>
          <w:color w:val="auto"/>
          <w:sz w:val="24"/>
          <w:szCs w:val="24"/>
        </w:rPr>
        <w:t>工作溶液</w:t>
      </w:r>
      <w:r>
        <w:rPr>
          <w:rFonts w:ascii="Times New Roman" w:hAnsi="Times New Roman" w:eastAsia="宋体" w:cs="Times New Roman"/>
          <w:color w:val="auto"/>
          <w:sz w:val="24"/>
          <w:szCs w:val="24"/>
        </w:rPr>
        <w:t>。</w:t>
      </w:r>
    </w:p>
    <w:p w14:paraId="5788E5A7">
      <w:pPr>
        <w:keepLines w:val="0"/>
        <w:pageBreakBefore w:val="0"/>
        <w:wordWrap/>
        <w:overflowPunct/>
        <w:topLinePunct w:val="0"/>
        <w:bidi w:val="0"/>
        <w:spacing w:line="360" w:lineRule="auto"/>
        <w:ind w:firstLine="422" w:firstLineChars="200"/>
        <w:jc w:val="center"/>
        <w:rPr>
          <w:rFonts w:hint="default" w:ascii="Times New Roman" w:hAnsi="Times New Roman" w:eastAsia="宋体" w:cs="Times New Roman"/>
          <w:b/>
          <w:szCs w:val="21"/>
          <w:lang w:val="en-US" w:eastAsia="zh-CN"/>
        </w:rPr>
      </w:pPr>
      <w:r>
        <w:rPr>
          <w:rFonts w:hint="eastAsia" w:ascii="Times New Roman" w:hAnsi="Times New Roman" w:eastAsia="宋体" w:cs="Times New Roman"/>
          <w:b/>
          <w:szCs w:val="21"/>
          <w:lang w:val="en-US" w:eastAsia="zh-CN"/>
        </w:rPr>
        <w:t>表16 企业收集48个肥料样品的对照配制表</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723"/>
        <w:gridCol w:w="924"/>
        <w:gridCol w:w="975"/>
        <w:gridCol w:w="815"/>
        <w:gridCol w:w="788"/>
        <w:gridCol w:w="938"/>
        <w:gridCol w:w="800"/>
        <w:gridCol w:w="762"/>
        <w:gridCol w:w="1031"/>
      </w:tblGrid>
      <w:tr w14:paraId="0F0EE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47" w:type="pct"/>
          </w:tcPr>
          <w:p w14:paraId="043D85CB">
            <w:pPr>
              <w:keepLines w:val="0"/>
              <w:pageBreakBefore w:val="0"/>
              <w:wordWrap/>
              <w:overflowPunct/>
              <w:topLinePunct w:val="0"/>
              <w:bidi w:val="0"/>
              <w:spacing w:line="360" w:lineRule="auto"/>
              <w:rPr>
                <w:rFonts w:ascii="Times New Roman" w:hAnsi="Times New Roman" w:eastAsia="宋体" w:cs="Times New Roman"/>
                <w:sz w:val="18"/>
                <w:szCs w:val="18"/>
              </w:rPr>
            </w:pPr>
          </w:p>
        </w:tc>
        <w:tc>
          <w:tcPr>
            <w:tcW w:w="2017" w:type="pct"/>
            <w:gridSpan w:val="4"/>
          </w:tcPr>
          <w:p w14:paraId="6C876C5C">
            <w:pPr>
              <w:keepLines w:val="0"/>
              <w:pageBreakBefore w:val="0"/>
              <w:wordWrap/>
              <w:overflowPunct/>
              <w:topLinePunct w:val="0"/>
              <w:bidi w:val="0"/>
              <w:spacing w:line="360" w:lineRule="auto"/>
              <w:rPr>
                <w:rFonts w:hint="eastAsia" w:ascii="Times New Roman" w:hAnsi="Times New Roman" w:eastAsia="宋体" w:cs="Times New Roman"/>
                <w:b/>
                <w:bCs/>
                <w:sz w:val="15"/>
                <w:szCs w:val="15"/>
                <w:lang w:val="en-US" w:eastAsia="zh-CN"/>
              </w:rPr>
            </w:pPr>
            <w:r>
              <w:rPr>
                <w:rFonts w:hint="eastAsia" w:ascii="Times New Roman" w:hAnsi="Times New Roman" w:eastAsia="宋体" w:cs="Times New Roman"/>
                <w:b/>
                <w:bCs/>
                <w:sz w:val="15"/>
                <w:szCs w:val="15"/>
                <w:lang w:val="en-US" w:eastAsia="zh-CN"/>
              </w:rPr>
              <w:t>配置每吨对照的原料重量（kg）</w:t>
            </w:r>
          </w:p>
        </w:tc>
        <w:tc>
          <w:tcPr>
            <w:tcW w:w="1929" w:type="pct"/>
            <w:gridSpan w:val="4"/>
            <w:shd w:val="clear" w:color="auto" w:fill="auto"/>
            <w:vAlign w:val="top"/>
          </w:tcPr>
          <w:p w14:paraId="0036CF1F">
            <w:pPr>
              <w:keepLines w:val="0"/>
              <w:pageBreakBefore w:val="0"/>
              <w:wordWrap/>
              <w:overflowPunct/>
              <w:topLinePunct w:val="0"/>
              <w:bidi w:val="0"/>
              <w:spacing w:line="360" w:lineRule="auto"/>
              <w:rPr>
                <w:rFonts w:hint="eastAsia" w:ascii="Times New Roman" w:hAnsi="Times New Roman" w:eastAsia="宋体" w:cs="Times New Roman"/>
                <w:b/>
                <w:bCs/>
                <w:sz w:val="15"/>
                <w:szCs w:val="15"/>
                <w:lang w:val="en-US" w:eastAsia="zh-CN"/>
              </w:rPr>
            </w:pPr>
            <w:r>
              <w:rPr>
                <w:rFonts w:hint="eastAsia" w:ascii="Times New Roman" w:hAnsi="Times New Roman" w:eastAsia="宋体" w:cs="Times New Roman"/>
                <w:b/>
                <w:bCs/>
                <w:sz w:val="15"/>
                <w:szCs w:val="15"/>
                <w:lang w:val="en-US" w:eastAsia="zh-CN"/>
              </w:rPr>
              <w:t>配置14 g N的对照原料重量（g）</w:t>
            </w:r>
          </w:p>
        </w:tc>
        <w:tc>
          <w:tcPr>
            <w:tcW w:w="605" w:type="pct"/>
            <w:shd w:val="clear" w:color="auto" w:fill="auto"/>
            <w:vAlign w:val="top"/>
          </w:tcPr>
          <w:p w14:paraId="229C457C">
            <w:pPr>
              <w:keepLines w:val="0"/>
              <w:pageBreakBefore w:val="0"/>
              <w:wordWrap/>
              <w:overflowPunct/>
              <w:topLinePunct w:val="0"/>
              <w:bidi w:val="0"/>
              <w:spacing w:line="360" w:lineRule="auto"/>
              <w:rPr>
                <w:rFonts w:hint="eastAsia" w:ascii="Times New Roman" w:hAnsi="Times New Roman" w:eastAsia="宋体" w:cs="Times New Roman"/>
                <w:b/>
                <w:bCs/>
                <w:kern w:val="2"/>
                <w:sz w:val="15"/>
                <w:szCs w:val="15"/>
                <w:lang w:val="en-US" w:eastAsia="zh-CN" w:bidi="ar-SA"/>
              </w:rPr>
            </w:pPr>
            <w:r>
              <w:rPr>
                <w:rFonts w:hint="eastAsia" w:ascii="Times New Roman" w:hAnsi="Times New Roman" w:eastAsia="宋体" w:cs="Times New Roman"/>
                <w:b/>
                <w:bCs/>
                <w:sz w:val="15"/>
                <w:szCs w:val="15"/>
                <w:lang w:val="en-US" w:eastAsia="zh-CN"/>
              </w:rPr>
              <w:t>配置14 g N的肥料样品重量（g）</w:t>
            </w:r>
          </w:p>
        </w:tc>
      </w:tr>
      <w:tr w14:paraId="00883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447" w:type="pct"/>
          </w:tcPr>
          <w:p w14:paraId="35B8A422">
            <w:pPr>
              <w:keepLines w:val="0"/>
              <w:pageBreakBefore w:val="0"/>
              <w:wordWrap/>
              <w:overflowPunct/>
              <w:topLinePunct w:val="0"/>
              <w:bidi w:val="0"/>
              <w:spacing w:line="360" w:lineRule="auto"/>
              <w:rPr>
                <w:rFonts w:ascii="Times New Roman" w:hAnsi="Times New Roman" w:eastAsia="宋体" w:cs="Times New Roman"/>
                <w:sz w:val="18"/>
                <w:szCs w:val="18"/>
              </w:rPr>
            </w:pPr>
          </w:p>
        </w:tc>
        <w:tc>
          <w:tcPr>
            <w:tcW w:w="424" w:type="pct"/>
            <w:shd w:val="clear" w:color="auto" w:fill="auto"/>
            <w:vAlign w:val="top"/>
          </w:tcPr>
          <w:p w14:paraId="33530DC4">
            <w:pPr>
              <w:keepLines w:val="0"/>
              <w:pageBreakBefore w:val="0"/>
              <w:wordWrap/>
              <w:overflowPunct/>
              <w:topLinePunct w:val="0"/>
              <w:bidi w:val="0"/>
              <w:spacing w:line="360" w:lineRule="auto"/>
              <w:rPr>
                <w:rFonts w:hint="default" w:ascii="Times New Roman" w:hAnsi="Times New Roman" w:eastAsia="宋体" w:cs="Times New Roman"/>
                <w:b/>
                <w:bCs/>
                <w:kern w:val="2"/>
                <w:sz w:val="15"/>
                <w:szCs w:val="15"/>
                <w:lang w:val="en-US" w:eastAsia="zh-CN" w:bidi="ar-SA"/>
              </w:rPr>
            </w:pPr>
            <w:r>
              <w:rPr>
                <w:rFonts w:ascii="Times New Roman" w:hAnsi="Times New Roman" w:eastAsia="宋体" w:cs="Times New Roman"/>
                <w:b/>
                <w:bCs/>
                <w:sz w:val="15"/>
                <w:szCs w:val="15"/>
              </w:rPr>
              <w:t>尿素</w:t>
            </w:r>
          </w:p>
        </w:tc>
        <w:tc>
          <w:tcPr>
            <w:tcW w:w="542" w:type="pct"/>
            <w:shd w:val="clear" w:color="auto" w:fill="auto"/>
            <w:vAlign w:val="top"/>
          </w:tcPr>
          <w:p w14:paraId="7CF91B56">
            <w:pPr>
              <w:keepLines w:val="0"/>
              <w:pageBreakBefore w:val="0"/>
              <w:wordWrap/>
              <w:overflowPunct/>
              <w:topLinePunct w:val="0"/>
              <w:bidi w:val="0"/>
              <w:spacing w:line="360" w:lineRule="auto"/>
              <w:rPr>
                <w:rFonts w:hint="default" w:ascii="Times New Roman" w:hAnsi="Times New Roman" w:eastAsia="宋体" w:cs="Times New Roman"/>
                <w:b/>
                <w:bCs/>
                <w:sz w:val="15"/>
                <w:szCs w:val="15"/>
                <w:lang w:val="en-US" w:eastAsia="zh-CN"/>
              </w:rPr>
            </w:pPr>
            <w:r>
              <w:rPr>
                <w:rFonts w:hint="eastAsia" w:ascii="Times New Roman" w:hAnsi="Times New Roman" w:eastAsia="宋体" w:cs="Times New Roman"/>
                <w:b/>
                <w:bCs/>
                <w:sz w:val="15"/>
                <w:szCs w:val="15"/>
                <w:lang w:val="en-US" w:eastAsia="zh-CN"/>
              </w:rPr>
              <w:t>硫酸铵</w:t>
            </w:r>
          </w:p>
        </w:tc>
        <w:tc>
          <w:tcPr>
            <w:tcW w:w="572" w:type="pct"/>
            <w:shd w:val="clear" w:color="auto" w:fill="auto"/>
            <w:vAlign w:val="top"/>
          </w:tcPr>
          <w:p w14:paraId="3AB0723F">
            <w:pPr>
              <w:keepLines w:val="0"/>
              <w:pageBreakBefore w:val="0"/>
              <w:wordWrap/>
              <w:overflowPunct/>
              <w:topLinePunct w:val="0"/>
              <w:bidi w:val="0"/>
              <w:spacing w:line="360" w:lineRule="auto"/>
              <w:rPr>
                <w:rFonts w:hint="default" w:ascii="Times New Roman" w:hAnsi="Times New Roman" w:eastAsia="宋体" w:cs="Times New Roman"/>
                <w:b/>
                <w:bCs/>
                <w:kern w:val="2"/>
                <w:sz w:val="15"/>
                <w:szCs w:val="15"/>
                <w:lang w:val="en-US" w:eastAsia="zh-CN" w:bidi="ar-SA"/>
              </w:rPr>
            </w:pPr>
            <w:r>
              <w:rPr>
                <w:rFonts w:hint="eastAsia" w:ascii="Times New Roman" w:hAnsi="Times New Roman" w:eastAsia="宋体" w:cs="Times New Roman"/>
                <w:b/>
                <w:bCs/>
                <w:kern w:val="2"/>
                <w:sz w:val="15"/>
                <w:szCs w:val="15"/>
                <w:lang w:val="en-US" w:eastAsia="zh-CN" w:bidi="ar-SA"/>
              </w:rPr>
              <w:t>过磷酸钙</w:t>
            </w:r>
          </w:p>
        </w:tc>
        <w:tc>
          <w:tcPr>
            <w:tcW w:w="478" w:type="pct"/>
            <w:shd w:val="clear" w:color="auto" w:fill="auto"/>
            <w:vAlign w:val="top"/>
          </w:tcPr>
          <w:p w14:paraId="16945854">
            <w:pPr>
              <w:keepLines w:val="0"/>
              <w:pageBreakBefore w:val="0"/>
              <w:wordWrap/>
              <w:overflowPunct/>
              <w:topLinePunct w:val="0"/>
              <w:bidi w:val="0"/>
              <w:spacing w:line="360" w:lineRule="auto"/>
              <w:rPr>
                <w:rFonts w:hint="eastAsia" w:ascii="Times New Roman" w:hAnsi="Times New Roman" w:eastAsia="宋体" w:cs="Times New Roman"/>
                <w:b/>
                <w:bCs/>
                <w:kern w:val="2"/>
                <w:sz w:val="15"/>
                <w:szCs w:val="15"/>
                <w:lang w:val="en-US" w:eastAsia="zh-CN" w:bidi="ar-SA"/>
              </w:rPr>
            </w:pPr>
            <w:r>
              <w:rPr>
                <w:rFonts w:hint="eastAsia" w:ascii="Times New Roman" w:hAnsi="Times New Roman" w:eastAsia="宋体" w:cs="Times New Roman"/>
                <w:b/>
                <w:bCs/>
                <w:sz w:val="15"/>
                <w:szCs w:val="15"/>
                <w:lang w:val="en-US" w:eastAsia="zh-CN"/>
              </w:rPr>
              <w:t>氯化钾</w:t>
            </w:r>
          </w:p>
        </w:tc>
        <w:tc>
          <w:tcPr>
            <w:tcW w:w="462" w:type="pct"/>
            <w:shd w:val="clear" w:color="auto" w:fill="auto"/>
            <w:vAlign w:val="top"/>
          </w:tcPr>
          <w:p w14:paraId="0AE335A8">
            <w:pPr>
              <w:keepLines w:val="0"/>
              <w:pageBreakBefore w:val="0"/>
              <w:wordWrap/>
              <w:overflowPunct/>
              <w:topLinePunct w:val="0"/>
              <w:bidi w:val="0"/>
              <w:spacing w:line="360" w:lineRule="auto"/>
              <w:rPr>
                <w:rFonts w:hint="default" w:ascii="Times New Roman" w:hAnsi="Times New Roman" w:eastAsia="宋体" w:cs="Times New Roman"/>
                <w:b/>
                <w:bCs/>
                <w:kern w:val="2"/>
                <w:sz w:val="15"/>
                <w:szCs w:val="15"/>
                <w:lang w:val="en-US" w:eastAsia="zh-CN" w:bidi="ar-SA"/>
              </w:rPr>
            </w:pPr>
            <w:r>
              <w:rPr>
                <w:rFonts w:ascii="Times New Roman" w:hAnsi="Times New Roman" w:eastAsia="宋体" w:cs="Times New Roman"/>
                <w:b/>
                <w:bCs/>
                <w:sz w:val="15"/>
                <w:szCs w:val="15"/>
              </w:rPr>
              <w:t>尿素</w:t>
            </w:r>
          </w:p>
        </w:tc>
        <w:tc>
          <w:tcPr>
            <w:tcW w:w="550" w:type="pct"/>
            <w:shd w:val="clear" w:color="auto" w:fill="auto"/>
            <w:vAlign w:val="top"/>
          </w:tcPr>
          <w:p w14:paraId="7D272777">
            <w:pPr>
              <w:keepLines w:val="0"/>
              <w:pageBreakBefore w:val="0"/>
              <w:wordWrap/>
              <w:overflowPunct/>
              <w:topLinePunct w:val="0"/>
              <w:bidi w:val="0"/>
              <w:spacing w:line="360" w:lineRule="auto"/>
              <w:rPr>
                <w:rFonts w:hint="default" w:ascii="Times New Roman" w:hAnsi="Times New Roman" w:eastAsia="宋体" w:cs="Times New Roman"/>
                <w:b/>
                <w:bCs/>
                <w:kern w:val="2"/>
                <w:sz w:val="15"/>
                <w:szCs w:val="15"/>
                <w:lang w:val="en-US" w:eastAsia="zh-CN" w:bidi="ar-SA"/>
              </w:rPr>
            </w:pPr>
            <w:r>
              <w:rPr>
                <w:rFonts w:hint="eastAsia" w:ascii="Times New Roman" w:hAnsi="Times New Roman" w:eastAsia="宋体" w:cs="Times New Roman"/>
                <w:b/>
                <w:bCs/>
                <w:sz w:val="15"/>
                <w:szCs w:val="15"/>
                <w:lang w:val="en-US" w:eastAsia="zh-CN"/>
              </w:rPr>
              <w:t>磷酸二铵</w:t>
            </w:r>
          </w:p>
        </w:tc>
        <w:tc>
          <w:tcPr>
            <w:tcW w:w="469" w:type="pct"/>
            <w:shd w:val="clear" w:color="auto" w:fill="auto"/>
            <w:vAlign w:val="top"/>
          </w:tcPr>
          <w:p w14:paraId="4ABD0BCA">
            <w:pPr>
              <w:keepLines w:val="0"/>
              <w:pageBreakBefore w:val="0"/>
              <w:wordWrap/>
              <w:overflowPunct/>
              <w:topLinePunct w:val="0"/>
              <w:bidi w:val="0"/>
              <w:spacing w:line="360" w:lineRule="auto"/>
              <w:rPr>
                <w:rFonts w:hint="eastAsia" w:ascii="Times New Roman" w:hAnsi="Times New Roman" w:eastAsia="宋体" w:cs="Times New Roman"/>
                <w:b/>
                <w:bCs/>
                <w:kern w:val="2"/>
                <w:sz w:val="15"/>
                <w:szCs w:val="15"/>
                <w:lang w:val="en-US" w:eastAsia="zh-CN" w:bidi="ar-SA"/>
              </w:rPr>
            </w:pPr>
            <w:r>
              <w:rPr>
                <w:rFonts w:hint="eastAsia" w:ascii="Times New Roman" w:hAnsi="Times New Roman" w:eastAsia="宋体" w:cs="Times New Roman"/>
                <w:b/>
                <w:bCs/>
                <w:sz w:val="15"/>
                <w:szCs w:val="15"/>
                <w:lang w:val="en-US" w:eastAsia="zh-CN"/>
              </w:rPr>
              <w:t>氯化钾</w:t>
            </w:r>
          </w:p>
        </w:tc>
        <w:tc>
          <w:tcPr>
            <w:tcW w:w="447" w:type="pct"/>
            <w:shd w:val="clear" w:color="auto" w:fill="auto"/>
            <w:vAlign w:val="top"/>
          </w:tcPr>
          <w:p w14:paraId="50D6DFD8">
            <w:pPr>
              <w:keepLines w:val="0"/>
              <w:pageBreakBefore w:val="0"/>
              <w:wordWrap/>
              <w:overflowPunct/>
              <w:topLinePunct w:val="0"/>
              <w:bidi w:val="0"/>
              <w:spacing w:line="360" w:lineRule="auto"/>
              <w:rPr>
                <w:rFonts w:hint="eastAsia" w:ascii="Times New Roman" w:hAnsi="Times New Roman" w:eastAsia="宋体" w:cs="Times New Roman"/>
                <w:b/>
                <w:bCs/>
                <w:kern w:val="2"/>
                <w:sz w:val="15"/>
                <w:szCs w:val="15"/>
                <w:lang w:val="en-US" w:eastAsia="zh-CN" w:bidi="ar-SA"/>
              </w:rPr>
            </w:pPr>
            <w:r>
              <w:rPr>
                <w:rFonts w:hint="eastAsia" w:ascii="Times New Roman" w:hAnsi="Times New Roman" w:eastAsia="宋体" w:cs="Times New Roman"/>
                <w:b/>
                <w:bCs/>
                <w:sz w:val="15"/>
                <w:szCs w:val="15"/>
              </w:rPr>
              <w:t>氯化铵</w:t>
            </w:r>
          </w:p>
        </w:tc>
        <w:tc>
          <w:tcPr>
            <w:tcW w:w="605" w:type="pct"/>
            <w:shd w:val="clear" w:color="auto" w:fill="auto"/>
            <w:vAlign w:val="top"/>
          </w:tcPr>
          <w:p w14:paraId="4BF46BF7">
            <w:pPr>
              <w:keepLines w:val="0"/>
              <w:pageBreakBefore w:val="0"/>
              <w:wordWrap/>
              <w:overflowPunct/>
              <w:topLinePunct w:val="0"/>
              <w:bidi w:val="0"/>
              <w:spacing w:line="360" w:lineRule="auto"/>
              <w:rPr>
                <w:rFonts w:ascii="Times New Roman" w:hAnsi="Times New Roman" w:eastAsia="宋体" w:cs="Times New Roman"/>
                <w:b/>
                <w:bCs/>
                <w:sz w:val="15"/>
                <w:szCs w:val="15"/>
              </w:rPr>
            </w:pPr>
          </w:p>
        </w:tc>
      </w:tr>
      <w:tr w14:paraId="6477F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tcPr>
          <w:p w14:paraId="2F15C80A">
            <w:pPr>
              <w:keepLines w:val="0"/>
              <w:pageBreakBefore w:val="0"/>
              <w:wordWrap/>
              <w:overflowPunct/>
              <w:topLinePunct w:val="0"/>
              <w:bidi w:val="0"/>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424" w:type="pct"/>
            <w:vAlign w:val="center"/>
          </w:tcPr>
          <w:p w14:paraId="62436D0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502.35 </w:t>
            </w:r>
          </w:p>
        </w:tc>
        <w:tc>
          <w:tcPr>
            <w:tcW w:w="542" w:type="pct"/>
            <w:vAlign w:val="center"/>
          </w:tcPr>
          <w:p w14:paraId="78B24BE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140.39 </w:t>
            </w:r>
          </w:p>
        </w:tc>
        <w:tc>
          <w:tcPr>
            <w:tcW w:w="572" w:type="pct"/>
            <w:vAlign w:val="center"/>
          </w:tcPr>
          <w:p w14:paraId="6AB1608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177.46 </w:t>
            </w:r>
          </w:p>
        </w:tc>
        <w:tc>
          <w:tcPr>
            <w:tcW w:w="478" w:type="pct"/>
            <w:vAlign w:val="center"/>
          </w:tcPr>
          <w:p w14:paraId="024EE76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190.34 </w:t>
            </w:r>
          </w:p>
        </w:tc>
        <w:tc>
          <w:tcPr>
            <w:tcW w:w="462" w:type="pct"/>
            <w:vAlign w:val="center"/>
          </w:tcPr>
          <w:p w14:paraId="4A6A7BC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26.62 </w:t>
            </w:r>
          </w:p>
        </w:tc>
        <w:tc>
          <w:tcPr>
            <w:tcW w:w="550" w:type="pct"/>
            <w:vAlign w:val="center"/>
          </w:tcPr>
          <w:p w14:paraId="0FC41F2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7.44 </w:t>
            </w:r>
          </w:p>
        </w:tc>
        <w:tc>
          <w:tcPr>
            <w:tcW w:w="469" w:type="pct"/>
            <w:vAlign w:val="center"/>
          </w:tcPr>
          <w:p w14:paraId="0B44D36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9.40 </w:t>
            </w:r>
          </w:p>
        </w:tc>
        <w:tc>
          <w:tcPr>
            <w:tcW w:w="447" w:type="pct"/>
            <w:vAlign w:val="center"/>
          </w:tcPr>
          <w:p w14:paraId="7986D7F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10.09 </w:t>
            </w:r>
          </w:p>
        </w:tc>
        <w:tc>
          <w:tcPr>
            <w:tcW w:w="605" w:type="pct"/>
            <w:shd w:val="clear" w:color="auto" w:fill="auto"/>
            <w:vAlign w:val="center"/>
          </w:tcPr>
          <w:p w14:paraId="103973B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52.99 </w:t>
            </w:r>
          </w:p>
        </w:tc>
      </w:tr>
      <w:tr w14:paraId="6183E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tcPr>
          <w:p w14:paraId="263A0626">
            <w:pPr>
              <w:keepLines w:val="0"/>
              <w:pageBreakBefore w:val="0"/>
              <w:wordWrap/>
              <w:overflowPunct/>
              <w:topLinePunct w:val="0"/>
              <w:bidi w:val="0"/>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424" w:type="pct"/>
            <w:vAlign w:val="center"/>
          </w:tcPr>
          <w:p w14:paraId="3C22D0B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482.31 </w:t>
            </w:r>
          </w:p>
        </w:tc>
        <w:tc>
          <w:tcPr>
            <w:tcW w:w="542" w:type="pct"/>
            <w:vAlign w:val="center"/>
          </w:tcPr>
          <w:p w14:paraId="2B0A734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187.78 </w:t>
            </w:r>
          </w:p>
        </w:tc>
        <w:tc>
          <w:tcPr>
            <w:tcW w:w="572" w:type="pct"/>
            <w:vAlign w:val="center"/>
          </w:tcPr>
          <w:p w14:paraId="1B934A5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195.21 </w:t>
            </w:r>
          </w:p>
        </w:tc>
        <w:tc>
          <w:tcPr>
            <w:tcW w:w="478" w:type="pct"/>
            <w:vAlign w:val="center"/>
          </w:tcPr>
          <w:p w14:paraId="23C230E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174.48 </w:t>
            </w:r>
          </w:p>
        </w:tc>
        <w:tc>
          <w:tcPr>
            <w:tcW w:w="462" w:type="pct"/>
            <w:vAlign w:val="center"/>
          </w:tcPr>
          <w:p w14:paraId="79D3CDB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25.49 </w:t>
            </w:r>
          </w:p>
        </w:tc>
        <w:tc>
          <w:tcPr>
            <w:tcW w:w="550" w:type="pct"/>
            <w:vAlign w:val="center"/>
          </w:tcPr>
          <w:p w14:paraId="2B0F6C9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9.92 </w:t>
            </w:r>
          </w:p>
        </w:tc>
        <w:tc>
          <w:tcPr>
            <w:tcW w:w="469" w:type="pct"/>
            <w:vAlign w:val="center"/>
          </w:tcPr>
          <w:p w14:paraId="5ADCFAF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10.32 </w:t>
            </w:r>
          </w:p>
        </w:tc>
        <w:tc>
          <w:tcPr>
            <w:tcW w:w="447" w:type="pct"/>
            <w:vAlign w:val="center"/>
          </w:tcPr>
          <w:p w14:paraId="0E9936A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9.22 </w:t>
            </w:r>
          </w:p>
        </w:tc>
        <w:tc>
          <w:tcPr>
            <w:tcW w:w="605" w:type="pct"/>
            <w:shd w:val="clear" w:color="auto" w:fill="auto"/>
            <w:vAlign w:val="center"/>
          </w:tcPr>
          <w:p w14:paraId="5D138C8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52.85 </w:t>
            </w:r>
          </w:p>
        </w:tc>
      </w:tr>
      <w:tr w14:paraId="1A6C5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3007B054">
            <w:pPr>
              <w:keepLines w:val="0"/>
              <w:pageBreakBefore w:val="0"/>
              <w:wordWrap/>
              <w:overflowPunct/>
              <w:topLinePunct w:val="0"/>
              <w:bidi w:val="0"/>
              <w:spacing w:line="360" w:lineRule="auto"/>
              <w:rPr>
                <w:rFonts w:ascii="Times New Roman" w:hAnsi="Times New Roman" w:eastAsia="宋体" w:cs="Times New Roman"/>
                <w:kern w:val="2"/>
                <w:sz w:val="18"/>
                <w:szCs w:val="18"/>
                <w:lang w:val="en-US" w:eastAsia="zh-CN" w:bidi="ar-SA"/>
              </w:rPr>
            </w:pPr>
            <w:r>
              <w:rPr>
                <w:rFonts w:ascii="Times New Roman" w:hAnsi="Times New Roman" w:eastAsia="宋体" w:cs="Times New Roman"/>
                <w:sz w:val="18"/>
                <w:szCs w:val="18"/>
              </w:rPr>
              <w:t>（3）</w:t>
            </w:r>
          </w:p>
        </w:tc>
        <w:tc>
          <w:tcPr>
            <w:tcW w:w="424" w:type="pct"/>
            <w:shd w:val="clear" w:color="auto" w:fill="auto"/>
            <w:vAlign w:val="center"/>
          </w:tcPr>
          <w:p w14:paraId="2F3AE66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 xml:space="preserve">448.50 </w:t>
            </w:r>
          </w:p>
        </w:tc>
        <w:tc>
          <w:tcPr>
            <w:tcW w:w="542" w:type="pct"/>
            <w:vAlign w:val="center"/>
          </w:tcPr>
          <w:p w14:paraId="6364D64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227.27 </w:t>
            </w:r>
          </w:p>
        </w:tc>
        <w:tc>
          <w:tcPr>
            <w:tcW w:w="572" w:type="pct"/>
            <w:vAlign w:val="center"/>
          </w:tcPr>
          <w:p w14:paraId="468F3FE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177.46 </w:t>
            </w:r>
          </w:p>
        </w:tc>
        <w:tc>
          <w:tcPr>
            <w:tcW w:w="478" w:type="pct"/>
            <w:vAlign w:val="center"/>
          </w:tcPr>
          <w:p w14:paraId="69D731F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158.62 </w:t>
            </w:r>
          </w:p>
        </w:tc>
        <w:tc>
          <w:tcPr>
            <w:tcW w:w="462" w:type="pct"/>
            <w:vAlign w:val="center"/>
          </w:tcPr>
          <w:p w14:paraId="480B5D8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24.38 </w:t>
            </w:r>
          </w:p>
        </w:tc>
        <w:tc>
          <w:tcPr>
            <w:tcW w:w="550" w:type="pct"/>
            <w:vAlign w:val="center"/>
          </w:tcPr>
          <w:p w14:paraId="07463D8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12.36 </w:t>
            </w:r>
          </w:p>
        </w:tc>
        <w:tc>
          <w:tcPr>
            <w:tcW w:w="469" w:type="pct"/>
            <w:vAlign w:val="center"/>
          </w:tcPr>
          <w:p w14:paraId="53FA049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9.65 </w:t>
            </w:r>
          </w:p>
        </w:tc>
        <w:tc>
          <w:tcPr>
            <w:tcW w:w="447" w:type="pct"/>
            <w:vAlign w:val="center"/>
          </w:tcPr>
          <w:p w14:paraId="59B919F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8.62 </w:t>
            </w:r>
          </w:p>
        </w:tc>
        <w:tc>
          <w:tcPr>
            <w:tcW w:w="605" w:type="pct"/>
            <w:shd w:val="clear" w:color="auto" w:fill="auto"/>
            <w:vAlign w:val="center"/>
          </w:tcPr>
          <w:p w14:paraId="5024DF93">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54.37 </w:t>
            </w:r>
          </w:p>
        </w:tc>
      </w:tr>
      <w:tr w14:paraId="16E70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65B2C557">
            <w:pPr>
              <w:keepLines w:val="0"/>
              <w:pageBreakBefore w:val="0"/>
              <w:wordWrap/>
              <w:overflowPunct/>
              <w:topLinePunct w:val="0"/>
              <w:bidi w:val="0"/>
              <w:spacing w:line="360" w:lineRule="auto"/>
              <w:rPr>
                <w:rFonts w:ascii="Times New Roman" w:hAnsi="Times New Roman" w:eastAsia="宋体" w:cs="Times New Roman"/>
                <w:kern w:val="2"/>
                <w:sz w:val="18"/>
                <w:szCs w:val="18"/>
                <w:lang w:val="en-US" w:eastAsia="zh-CN" w:bidi="ar-SA"/>
              </w:rPr>
            </w:pPr>
            <w:r>
              <w:rPr>
                <w:rFonts w:ascii="Times New Roman" w:hAnsi="Times New Roman" w:eastAsia="宋体" w:cs="Times New Roman"/>
                <w:sz w:val="18"/>
                <w:szCs w:val="18"/>
              </w:rPr>
              <w:t>（4）</w:t>
            </w:r>
          </w:p>
        </w:tc>
        <w:tc>
          <w:tcPr>
            <w:tcW w:w="424" w:type="pct"/>
            <w:shd w:val="clear" w:color="auto" w:fill="auto"/>
            <w:vAlign w:val="center"/>
          </w:tcPr>
          <w:p w14:paraId="68E29AB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 xml:space="preserve">501.46 </w:t>
            </w:r>
          </w:p>
        </w:tc>
        <w:tc>
          <w:tcPr>
            <w:tcW w:w="542" w:type="pct"/>
            <w:vAlign w:val="center"/>
          </w:tcPr>
          <w:p w14:paraId="3F24E21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142.07 </w:t>
            </w:r>
          </w:p>
        </w:tc>
        <w:tc>
          <w:tcPr>
            <w:tcW w:w="572" w:type="pct"/>
            <w:vAlign w:val="center"/>
          </w:tcPr>
          <w:p w14:paraId="684A0E0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177.46 </w:t>
            </w:r>
          </w:p>
        </w:tc>
        <w:tc>
          <w:tcPr>
            <w:tcW w:w="478" w:type="pct"/>
            <w:vAlign w:val="center"/>
          </w:tcPr>
          <w:p w14:paraId="2C6F30D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190.34 </w:t>
            </w:r>
          </w:p>
        </w:tc>
        <w:tc>
          <w:tcPr>
            <w:tcW w:w="462" w:type="pct"/>
            <w:vAlign w:val="center"/>
          </w:tcPr>
          <w:p w14:paraId="1F923ED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26.58 </w:t>
            </w:r>
          </w:p>
        </w:tc>
        <w:tc>
          <w:tcPr>
            <w:tcW w:w="550" w:type="pct"/>
            <w:vAlign w:val="center"/>
          </w:tcPr>
          <w:p w14:paraId="6C56C85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7.53 </w:t>
            </w:r>
          </w:p>
        </w:tc>
        <w:tc>
          <w:tcPr>
            <w:tcW w:w="469" w:type="pct"/>
            <w:vAlign w:val="center"/>
          </w:tcPr>
          <w:p w14:paraId="5EE467E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9.41 </w:t>
            </w:r>
          </w:p>
        </w:tc>
        <w:tc>
          <w:tcPr>
            <w:tcW w:w="447" w:type="pct"/>
            <w:vAlign w:val="center"/>
          </w:tcPr>
          <w:p w14:paraId="609E057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10.09 </w:t>
            </w:r>
          </w:p>
        </w:tc>
        <w:tc>
          <w:tcPr>
            <w:tcW w:w="605" w:type="pct"/>
            <w:shd w:val="clear" w:color="auto" w:fill="auto"/>
            <w:vAlign w:val="center"/>
          </w:tcPr>
          <w:p w14:paraId="073C2951">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53.00 </w:t>
            </w:r>
          </w:p>
        </w:tc>
      </w:tr>
      <w:tr w14:paraId="61FB8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2DEDFA94">
            <w:pPr>
              <w:keepLines w:val="0"/>
              <w:pageBreakBefore w:val="0"/>
              <w:wordWrap/>
              <w:overflowPunct/>
              <w:topLinePunct w:val="0"/>
              <w:bidi w:val="0"/>
              <w:spacing w:line="360" w:lineRule="auto"/>
              <w:rPr>
                <w:rFonts w:ascii="Times New Roman" w:hAnsi="Times New Roman" w:eastAsia="宋体" w:cs="Times New Roman"/>
                <w:kern w:val="2"/>
                <w:sz w:val="18"/>
                <w:szCs w:val="18"/>
                <w:lang w:val="en-US" w:eastAsia="zh-CN" w:bidi="ar-SA"/>
              </w:rPr>
            </w:pPr>
            <w:r>
              <w:rPr>
                <w:rFonts w:ascii="Times New Roman" w:hAnsi="Times New Roman" w:eastAsia="宋体" w:cs="Times New Roman"/>
                <w:sz w:val="18"/>
                <w:szCs w:val="18"/>
              </w:rPr>
              <w:t>（5）</w:t>
            </w:r>
          </w:p>
        </w:tc>
        <w:tc>
          <w:tcPr>
            <w:tcW w:w="424" w:type="pct"/>
            <w:vAlign w:val="center"/>
          </w:tcPr>
          <w:p w14:paraId="3F50B34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469.87 </w:t>
            </w:r>
          </w:p>
        </w:tc>
        <w:tc>
          <w:tcPr>
            <w:tcW w:w="542" w:type="pct"/>
            <w:vAlign w:val="center"/>
          </w:tcPr>
          <w:p w14:paraId="5B32F38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177.91 </w:t>
            </w:r>
          </w:p>
        </w:tc>
        <w:tc>
          <w:tcPr>
            <w:tcW w:w="572" w:type="pct"/>
            <w:vAlign w:val="center"/>
          </w:tcPr>
          <w:p w14:paraId="59F7420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177.46 </w:t>
            </w:r>
          </w:p>
        </w:tc>
        <w:tc>
          <w:tcPr>
            <w:tcW w:w="478" w:type="pct"/>
            <w:vAlign w:val="center"/>
          </w:tcPr>
          <w:p w14:paraId="4BFA278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190.34 </w:t>
            </w:r>
          </w:p>
        </w:tc>
        <w:tc>
          <w:tcPr>
            <w:tcW w:w="462" w:type="pct"/>
            <w:vAlign w:val="center"/>
          </w:tcPr>
          <w:p w14:paraId="5DF4D5C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25.59 </w:t>
            </w:r>
          </w:p>
        </w:tc>
        <w:tc>
          <w:tcPr>
            <w:tcW w:w="550" w:type="pct"/>
            <w:vAlign w:val="center"/>
          </w:tcPr>
          <w:p w14:paraId="1B85D6A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9.69 </w:t>
            </w:r>
          </w:p>
        </w:tc>
        <w:tc>
          <w:tcPr>
            <w:tcW w:w="469" w:type="pct"/>
            <w:vAlign w:val="center"/>
          </w:tcPr>
          <w:p w14:paraId="5A9BEC7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9.67 </w:t>
            </w:r>
          </w:p>
        </w:tc>
        <w:tc>
          <w:tcPr>
            <w:tcW w:w="447" w:type="pct"/>
            <w:vAlign w:val="center"/>
          </w:tcPr>
          <w:p w14:paraId="56F3583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10.37 </w:t>
            </w:r>
          </w:p>
        </w:tc>
        <w:tc>
          <w:tcPr>
            <w:tcW w:w="605" w:type="pct"/>
            <w:shd w:val="clear" w:color="auto" w:fill="auto"/>
            <w:vAlign w:val="center"/>
          </w:tcPr>
          <w:p w14:paraId="2C593C37">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54.47 </w:t>
            </w:r>
          </w:p>
        </w:tc>
      </w:tr>
      <w:tr w14:paraId="6A395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4833C59A">
            <w:pPr>
              <w:keepLines w:val="0"/>
              <w:pageBreakBefore w:val="0"/>
              <w:wordWrap/>
              <w:overflowPunct/>
              <w:topLinePunct w:val="0"/>
              <w:bidi w:val="0"/>
              <w:spacing w:line="360" w:lineRule="auto"/>
              <w:rPr>
                <w:rFonts w:ascii="Times New Roman" w:hAnsi="Times New Roman" w:eastAsia="宋体" w:cs="Times New Roman"/>
                <w:kern w:val="2"/>
                <w:sz w:val="18"/>
                <w:szCs w:val="18"/>
                <w:lang w:val="en-US" w:eastAsia="zh-CN" w:bidi="ar-SA"/>
              </w:rPr>
            </w:pPr>
            <w:r>
              <w:rPr>
                <w:rFonts w:ascii="Times New Roman" w:hAnsi="Times New Roman" w:eastAsia="宋体" w:cs="Times New Roman"/>
                <w:sz w:val="18"/>
                <w:szCs w:val="18"/>
              </w:rPr>
              <w:t>（6）</w:t>
            </w:r>
          </w:p>
        </w:tc>
        <w:tc>
          <w:tcPr>
            <w:tcW w:w="424" w:type="pct"/>
            <w:vAlign w:val="center"/>
          </w:tcPr>
          <w:p w14:paraId="007DCC9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514.21 </w:t>
            </w:r>
          </w:p>
        </w:tc>
        <w:tc>
          <w:tcPr>
            <w:tcW w:w="542" w:type="pct"/>
            <w:vAlign w:val="center"/>
          </w:tcPr>
          <w:p w14:paraId="08E264D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143.10 </w:t>
            </w:r>
          </w:p>
        </w:tc>
        <w:tc>
          <w:tcPr>
            <w:tcW w:w="572" w:type="pct"/>
            <w:vAlign w:val="center"/>
          </w:tcPr>
          <w:p w14:paraId="1CAA495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195.21 </w:t>
            </w:r>
          </w:p>
        </w:tc>
        <w:tc>
          <w:tcPr>
            <w:tcW w:w="478" w:type="pct"/>
            <w:vAlign w:val="center"/>
          </w:tcPr>
          <w:p w14:paraId="0F89A01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174.48 </w:t>
            </w:r>
          </w:p>
        </w:tc>
        <w:tc>
          <w:tcPr>
            <w:tcW w:w="462" w:type="pct"/>
            <w:vAlign w:val="center"/>
          </w:tcPr>
          <w:p w14:paraId="257E0A9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26.63 </w:t>
            </w:r>
          </w:p>
        </w:tc>
        <w:tc>
          <w:tcPr>
            <w:tcW w:w="550" w:type="pct"/>
            <w:vAlign w:val="center"/>
          </w:tcPr>
          <w:p w14:paraId="19B1659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7.41 </w:t>
            </w:r>
          </w:p>
        </w:tc>
        <w:tc>
          <w:tcPr>
            <w:tcW w:w="469" w:type="pct"/>
            <w:vAlign w:val="center"/>
          </w:tcPr>
          <w:p w14:paraId="7979604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10.11 </w:t>
            </w:r>
          </w:p>
        </w:tc>
        <w:tc>
          <w:tcPr>
            <w:tcW w:w="447" w:type="pct"/>
            <w:vAlign w:val="center"/>
          </w:tcPr>
          <w:p w14:paraId="03DD17D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9.04 </w:t>
            </w:r>
          </w:p>
        </w:tc>
        <w:tc>
          <w:tcPr>
            <w:tcW w:w="605" w:type="pct"/>
            <w:shd w:val="clear" w:color="auto" w:fill="auto"/>
            <w:vAlign w:val="center"/>
          </w:tcPr>
          <w:p w14:paraId="3FBFDC3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51.79 </w:t>
            </w:r>
          </w:p>
        </w:tc>
      </w:tr>
      <w:tr w14:paraId="3614B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72248060">
            <w:pPr>
              <w:keepLines w:val="0"/>
              <w:pageBreakBefore w:val="0"/>
              <w:wordWrap/>
              <w:overflowPunct/>
              <w:topLinePunct w:val="0"/>
              <w:bidi w:val="0"/>
              <w:spacing w:line="360" w:lineRule="auto"/>
              <w:rPr>
                <w:rFonts w:ascii="Times New Roman" w:hAnsi="Times New Roman" w:eastAsia="宋体" w:cs="Times New Roman"/>
                <w:kern w:val="2"/>
                <w:sz w:val="18"/>
                <w:szCs w:val="18"/>
                <w:lang w:val="en-US" w:eastAsia="zh-CN" w:bidi="ar-SA"/>
              </w:rPr>
            </w:pPr>
            <w:r>
              <w:rPr>
                <w:rFonts w:hint="eastAsia" w:ascii="Times New Roman" w:hAnsi="Times New Roman" w:eastAsia="宋体" w:cs="Times New Roman"/>
                <w:sz w:val="18"/>
                <w:szCs w:val="18"/>
              </w:rPr>
              <w:t>（7）</w:t>
            </w:r>
          </w:p>
        </w:tc>
        <w:tc>
          <w:tcPr>
            <w:tcW w:w="424" w:type="pct"/>
            <w:vAlign w:val="center"/>
          </w:tcPr>
          <w:p w14:paraId="226DBA0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462.96 </w:t>
            </w:r>
          </w:p>
        </w:tc>
        <w:tc>
          <w:tcPr>
            <w:tcW w:w="542" w:type="pct"/>
            <w:vAlign w:val="center"/>
          </w:tcPr>
          <w:p w14:paraId="4C822B4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192.24 </w:t>
            </w:r>
          </w:p>
        </w:tc>
        <w:tc>
          <w:tcPr>
            <w:tcW w:w="572" w:type="pct"/>
            <w:vAlign w:val="center"/>
          </w:tcPr>
          <w:p w14:paraId="4A0998A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212.96 </w:t>
            </w:r>
          </w:p>
        </w:tc>
        <w:tc>
          <w:tcPr>
            <w:tcW w:w="478" w:type="pct"/>
            <w:vAlign w:val="center"/>
          </w:tcPr>
          <w:p w14:paraId="7450BB4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190.34 </w:t>
            </w:r>
          </w:p>
        </w:tc>
        <w:tc>
          <w:tcPr>
            <w:tcW w:w="462" w:type="pct"/>
            <w:vAlign w:val="center"/>
          </w:tcPr>
          <w:p w14:paraId="552911B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25.24 </w:t>
            </w:r>
          </w:p>
        </w:tc>
        <w:tc>
          <w:tcPr>
            <w:tcW w:w="550" w:type="pct"/>
            <w:vAlign w:val="center"/>
          </w:tcPr>
          <w:p w14:paraId="28B6A59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10.48 </w:t>
            </w:r>
          </w:p>
        </w:tc>
        <w:tc>
          <w:tcPr>
            <w:tcW w:w="469" w:type="pct"/>
            <w:vAlign w:val="center"/>
          </w:tcPr>
          <w:p w14:paraId="7C88EBB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11.61 </w:t>
            </w:r>
          </w:p>
        </w:tc>
        <w:tc>
          <w:tcPr>
            <w:tcW w:w="447" w:type="pct"/>
            <w:vAlign w:val="center"/>
          </w:tcPr>
          <w:p w14:paraId="659CB21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10.38 </w:t>
            </w:r>
          </w:p>
        </w:tc>
        <w:tc>
          <w:tcPr>
            <w:tcW w:w="605" w:type="pct"/>
            <w:shd w:val="clear" w:color="auto" w:fill="auto"/>
            <w:vAlign w:val="center"/>
          </w:tcPr>
          <w:p w14:paraId="75051646">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54.51 </w:t>
            </w:r>
          </w:p>
        </w:tc>
      </w:tr>
      <w:tr w14:paraId="71750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55818A9F">
            <w:pPr>
              <w:keepLines w:val="0"/>
              <w:pageBreakBefore w:val="0"/>
              <w:wordWrap/>
              <w:overflowPunct/>
              <w:topLinePunct w:val="0"/>
              <w:bidi w:val="0"/>
              <w:spacing w:line="360" w:lineRule="auto"/>
              <w:rPr>
                <w:rFonts w:ascii="Times New Roman" w:hAnsi="Times New Roman" w:eastAsia="宋体" w:cs="Times New Roman"/>
                <w:kern w:val="2"/>
                <w:sz w:val="18"/>
                <w:szCs w:val="18"/>
                <w:lang w:val="en-US" w:eastAsia="zh-CN" w:bidi="ar-SA"/>
              </w:rPr>
            </w:pPr>
            <w:r>
              <w:rPr>
                <w:rFonts w:hint="eastAsia" w:ascii="Times New Roman" w:hAnsi="Times New Roman" w:eastAsia="宋体" w:cs="Times New Roman"/>
                <w:sz w:val="18"/>
                <w:szCs w:val="18"/>
              </w:rPr>
              <w:t>（8）</w:t>
            </w:r>
          </w:p>
        </w:tc>
        <w:tc>
          <w:tcPr>
            <w:tcW w:w="424" w:type="pct"/>
            <w:vAlign w:val="center"/>
          </w:tcPr>
          <w:p w14:paraId="3229CC2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497.70 </w:t>
            </w:r>
          </w:p>
        </w:tc>
        <w:tc>
          <w:tcPr>
            <w:tcW w:w="542" w:type="pct"/>
            <w:vAlign w:val="center"/>
          </w:tcPr>
          <w:p w14:paraId="6F0E1FF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143.81 </w:t>
            </w:r>
          </w:p>
        </w:tc>
        <w:tc>
          <w:tcPr>
            <w:tcW w:w="572" w:type="pct"/>
            <w:vAlign w:val="center"/>
          </w:tcPr>
          <w:p w14:paraId="3496959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212.96 </w:t>
            </w:r>
          </w:p>
        </w:tc>
        <w:tc>
          <w:tcPr>
            <w:tcW w:w="478" w:type="pct"/>
            <w:vAlign w:val="center"/>
          </w:tcPr>
          <w:p w14:paraId="660D753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190.34 </w:t>
            </w:r>
          </w:p>
        </w:tc>
        <w:tc>
          <w:tcPr>
            <w:tcW w:w="462" w:type="pct"/>
            <w:vAlign w:val="center"/>
          </w:tcPr>
          <w:p w14:paraId="004AA9E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26.52 </w:t>
            </w:r>
          </w:p>
        </w:tc>
        <w:tc>
          <w:tcPr>
            <w:tcW w:w="550" w:type="pct"/>
            <w:vAlign w:val="center"/>
          </w:tcPr>
          <w:p w14:paraId="61A38D2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7.66 </w:t>
            </w:r>
          </w:p>
        </w:tc>
        <w:tc>
          <w:tcPr>
            <w:tcW w:w="469" w:type="pct"/>
            <w:vAlign w:val="center"/>
          </w:tcPr>
          <w:p w14:paraId="52A2B88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11.35 </w:t>
            </w:r>
          </w:p>
        </w:tc>
        <w:tc>
          <w:tcPr>
            <w:tcW w:w="447" w:type="pct"/>
            <w:vAlign w:val="center"/>
          </w:tcPr>
          <w:p w14:paraId="5D573B8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10.14 </w:t>
            </w:r>
          </w:p>
        </w:tc>
        <w:tc>
          <w:tcPr>
            <w:tcW w:w="605" w:type="pct"/>
            <w:shd w:val="clear" w:color="auto" w:fill="auto"/>
            <w:vAlign w:val="center"/>
          </w:tcPr>
          <w:p w14:paraId="798EE43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53.28 </w:t>
            </w:r>
          </w:p>
        </w:tc>
      </w:tr>
      <w:tr w14:paraId="5DFEC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tcPr>
          <w:p w14:paraId="6CC67636">
            <w:pPr>
              <w:keepLines w:val="0"/>
              <w:pageBreakBefore w:val="0"/>
              <w:wordWrap/>
              <w:overflowPunct/>
              <w:topLinePunct w:val="0"/>
              <w:bidi w:val="0"/>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w:t>
            </w:r>
            <w:r>
              <w:rPr>
                <w:rFonts w:hint="eastAsia" w:ascii="Times New Roman" w:hAnsi="Times New Roman" w:eastAsia="宋体" w:cs="Times New Roman"/>
                <w:sz w:val="18"/>
                <w:szCs w:val="18"/>
                <w:lang w:val="en-US" w:eastAsia="zh-CN"/>
              </w:rPr>
              <w:t>9</w:t>
            </w:r>
            <w:r>
              <w:rPr>
                <w:rFonts w:ascii="Times New Roman" w:hAnsi="Times New Roman" w:eastAsia="宋体" w:cs="Times New Roman"/>
                <w:sz w:val="18"/>
                <w:szCs w:val="18"/>
              </w:rPr>
              <w:t>）</w:t>
            </w:r>
          </w:p>
        </w:tc>
        <w:tc>
          <w:tcPr>
            <w:tcW w:w="424" w:type="pct"/>
            <w:vAlign w:val="center"/>
          </w:tcPr>
          <w:p w14:paraId="4A9811F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371.89 </w:t>
            </w:r>
          </w:p>
        </w:tc>
        <w:tc>
          <w:tcPr>
            <w:tcW w:w="542" w:type="pct"/>
            <w:vAlign w:val="center"/>
          </w:tcPr>
          <w:p w14:paraId="64C87A7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417.79 </w:t>
            </w:r>
          </w:p>
        </w:tc>
        <w:tc>
          <w:tcPr>
            <w:tcW w:w="572" w:type="pct"/>
            <w:vAlign w:val="center"/>
          </w:tcPr>
          <w:p w14:paraId="3A38F59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266.20 </w:t>
            </w:r>
          </w:p>
        </w:tc>
        <w:tc>
          <w:tcPr>
            <w:tcW w:w="478" w:type="pct"/>
            <w:vAlign w:val="center"/>
          </w:tcPr>
          <w:p w14:paraId="7790E20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253.79 </w:t>
            </w:r>
          </w:p>
        </w:tc>
        <w:tc>
          <w:tcPr>
            <w:tcW w:w="462" w:type="pct"/>
            <w:vAlign w:val="center"/>
          </w:tcPr>
          <w:p w14:paraId="2658528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19.86 </w:t>
            </w:r>
          </w:p>
        </w:tc>
        <w:tc>
          <w:tcPr>
            <w:tcW w:w="550" w:type="pct"/>
            <w:vAlign w:val="center"/>
          </w:tcPr>
          <w:p w14:paraId="0C34FCD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22.31 </w:t>
            </w:r>
          </w:p>
        </w:tc>
        <w:tc>
          <w:tcPr>
            <w:tcW w:w="469" w:type="pct"/>
            <w:vAlign w:val="center"/>
          </w:tcPr>
          <w:p w14:paraId="21C7DEF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14.22 </w:t>
            </w:r>
          </w:p>
        </w:tc>
        <w:tc>
          <w:tcPr>
            <w:tcW w:w="447" w:type="pct"/>
            <w:vAlign w:val="center"/>
          </w:tcPr>
          <w:p w14:paraId="69B3E90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13.55 </w:t>
            </w:r>
          </w:p>
        </w:tc>
        <w:tc>
          <w:tcPr>
            <w:tcW w:w="605" w:type="pct"/>
            <w:shd w:val="clear" w:color="auto" w:fill="auto"/>
            <w:vAlign w:val="center"/>
          </w:tcPr>
          <w:p w14:paraId="73770FC0">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53.40 </w:t>
            </w:r>
          </w:p>
        </w:tc>
      </w:tr>
      <w:tr w14:paraId="028FF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tcPr>
          <w:p w14:paraId="1CA1E6CA">
            <w:pPr>
              <w:keepLines w:val="0"/>
              <w:pageBreakBefore w:val="0"/>
              <w:wordWrap/>
              <w:overflowPunct/>
              <w:topLinePunct w:val="0"/>
              <w:bidi w:val="0"/>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w:t>
            </w:r>
            <w:r>
              <w:rPr>
                <w:rFonts w:hint="eastAsia" w:ascii="Times New Roman" w:hAnsi="Times New Roman" w:eastAsia="宋体" w:cs="Times New Roman"/>
                <w:sz w:val="18"/>
                <w:szCs w:val="18"/>
                <w:lang w:val="en-US" w:eastAsia="zh-CN"/>
              </w:rPr>
              <w:t>10</w:t>
            </w:r>
            <w:r>
              <w:rPr>
                <w:rFonts w:ascii="Times New Roman" w:hAnsi="Times New Roman" w:eastAsia="宋体" w:cs="Times New Roman"/>
                <w:sz w:val="18"/>
                <w:szCs w:val="18"/>
              </w:rPr>
              <w:t>）</w:t>
            </w:r>
          </w:p>
        </w:tc>
        <w:tc>
          <w:tcPr>
            <w:tcW w:w="424" w:type="pct"/>
            <w:vAlign w:val="center"/>
          </w:tcPr>
          <w:p w14:paraId="6E39AFF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335.89 </w:t>
            </w:r>
          </w:p>
        </w:tc>
        <w:tc>
          <w:tcPr>
            <w:tcW w:w="542" w:type="pct"/>
            <w:vAlign w:val="center"/>
          </w:tcPr>
          <w:p w14:paraId="30AB79D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510.92 </w:t>
            </w:r>
          </w:p>
        </w:tc>
        <w:tc>
          <w:tcPr>
            <w:tcW w:w="572" w:type="pct"/>
            <w:vAlign w:val="center"/>
          </w:tcPr>
          <w:p w14:paraId="776C35D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266.20 </w:t>
            </w:r>
          </w:p>
        </w:tc>
        <w:tc>
          <w:tcPr>
            <w:tcW w:w="478" w:type="pct"/>
            <w:vAlign w:val="center"/>
          </w:tcPr>
          <w:p w14:paraId="5A16BE2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95.17 </w:t>
            </w:r>
          </w:p>
        </w:tc>
        <w:tc>
          <w:tcPr>
            <w:tcW w:w="462" w:type="pct"/>
            <w:vAlign w:val="center"/>
          </w:tcPr>
          <w:p w14:paraId="4FC496D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17.74 </w:t>
            </w:r>
          </w:p>
        </w:tc>
        <w:tc>
          <w:tcPr>
            <w:tcW w:w="550" w:type="pct"/>
            <w:vAlign w:val="center"/>
          </w:tcPr>
          <w:p w14:paraId="7441218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26.98 </w:t>
            </w:r>
          </w:p>
        </w:tc>
        <w:tc>
          <w:tcPr>
            <w:tcW w:w="469" w:type="pct"/>
            <w:vAlign w:val="center"/>
          </w:tcPr>
          <w:p w14:paraId="31F4B24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14.06 </w:t>
            </w:r>
          </w:p>
        </w:tc>
        <w:tc>
          <w:tcPr>
            <w:tcW w:w="447" w:type="pct"/>
            <w:vAlign w:val="center"/>
          </w:tcPr>
          <w:p w14:paraId="7ADE0CA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5.03 </w:t>
            </w:r>
          </w:p>
        </w:tc>
        <w:tc>
          <w:tcPr>
            <w:tcW w:w="605" w:type="pct"/>
            <w:shd w:val="clear" w:color="auto" w:fill="auto"/>
            <w:vAlign w:val="center"/>
          </w:tcPr>
          <w:p w14:paraId="2961443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52.81 </w:t>
            </w:r>
          </w:p>
        </w:tc>
      </w:tr>
      <w:tr w14:paraId="22FE8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tcPr>
          <w:p w14:paraId="0373FB7A">
            <w:pPr>
              <w:keepLines w:val="0"/>
              <w:pageBreakBefore w:val="0"/>
              <w:wordWrap/>
              <w:overflowPunct/>
              <w:topLinePunct w:val="0"/>
              <w:bidi w:val="0"/>
              <w:spacing w:line="360" w:lineRule="auto"/>
              <w:rPr>
                <w:rFonts w:ascii="Times New Roman" w:hAnsi="Times New Roman" w:eastAsia="宋体" w:cs="Times New Roman"/>
                <w:sz w:val="18"/>
                <w:szCs w:val="18"/>
              </w:rPr>
            </w:pPr>
            <w:r>
              <w:rPr>
                <w:rFonts w:hint="eastAsia" w:ascii="Times New Roman" w:hAnsi="Times New Roman" w:eastAsia="宋体" w:cs="Times New Roman"/>
                <w:sz w:val="18"/>
                <w:szCs w:val="18"/>
              </w:rPr>
              <w:t>（</w:t>
            </w:r>
            <w:r>
              <w:rPr>
                <w:rFonts w:hint="eastAsia" w:ascii="Times New Roman" w:hAnsi="Times New Roman" w:eastAsia="宋体" w:cs="Times New Roman"/>
                <w:sz w:val="18"/>
                <w:szCs w:val="18"/>
                <w:lang w:val="en-US" w:eastAsia="zh-CN"/>
              </w:rPr>
              <w:t>11</w:t>
            </w:r>
            <w:r>
              <w:rPr>
                <w:rFonts w:hint="eastAsia" w:ascii="Times New Roman" w:hAnsi="Times New Roman" w:eastAsia="宋体" w:cs="Times New Roman"/>
                <w:sz w:val="18"/>
                <w:szCs w:val="18"/>
              </w:rPr>
              <w:t>）</w:t>
            </w:r>
          </w:p>
        </w:tc>
        <w:tc>
          <w:tcPr>
            <w:tcW w:w="424" w:type="pct"/>
            <w:vAlign w:val="center"/>
          </w:tcPr>
          <w:p w14:paraId="36673E3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675.21 </w:t>
            </w:r>
          </w:p>
        </w:tc>
        <w:tc>
          <w:tcPr>
            <w:tcW w:w="542" w:type="pct"/>
            <w:vAlign w:val="center"/>
          </w:tcPr>
          <w:p w14:paraId="0D5766E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193.04 </w:t>
            </w:r>
          </w:p>
        </w:tc>
        <w:tc>
          <w:tcPr>
            <w:tcW w:w="572" w:type="pct"/>
            <w:vAlign w:val="center"/>
          </w:tcPr>
          <w:p w14:paraId="7D02796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195.21 </w:t>
            </w:r>
          </w:p>
        </w:tc>
        <w:tc>
          <w:tcPr>
            <w:tcW w:w="478" w:type="pct"/>
            <w:vAlign w:val="center"/>
          </w:tcPr>
          <w:p w14:paraId="32E1E5B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174.48 </w:t>
            </w:r>
          </w:p>
        </w:tc>
        <w:tc>
          <w:tcPr>
            <w:tcW w:w="462" w:type="pct"/>
            <w:vAlign w:val="center"/>
          </w:tcPr>
          <w:p w14:paraId="2365732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26.55 </w:t>
            </w:r>
          </w:p>
        </w:tc>
        <w:tc>
          <w:tcPr>
            <w:tcW w:w="550" w:type="pct"/>
            <w:vAlign w:val="center"/>
          </w:tcPr>
          <w:p w14:paraId="57EB761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7.59 </w:t>
            </w:r>
          </w:p>
        </w:tc>
        <w:tc>
          <w:tcPr>
            <w:tcW w:w="469" w:type="pct"/>
            <w:vAlign w:val="center"/>
          </w:tcPr>
          <w:p w14:paraId="2C86648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7.68 </w:t>
            </w:r>
          </w:p>
        </w:tc>
        <w:tc>
          <w:tcPr>
            <w:tcW w:w="447" w:type="pct"/>
            <w:vAlign w:val="center"/>
          </w:tcPr>
          <w:p w14:paraId="6402F5F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6.86 </w:t>
            </w:r>
          </w:p>
        </w:tc>
        <w:tc>
          <w:tcPr>
            <w:tcW w:w="605" w:type="pct"/>
            <w:shd w:val="clear" w:color="auto" w:fill="auto"/>
            <w:vAlign w:val="center"/>
          </w:tcPr>
          <w:p w14:paraId="64EF090A">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39.32 </w:t>
            </w:r>
          </w:p>
        </w:tc>
      </w:tr>
      <w:tr w14:paraId="6B8C9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tcPr>
          <w:p w14:paraId="4C541BEA">
            <w:pPr>
              <w:keepLines w:val="0"/>
              <w:pageBreakBefore w:val="0"/>
              <w:wordWrap/>
              <w:overflowPunct/>
              <w:topLinePunct w:val="0"/>
              <w:bidi w:val="0"/>
              <w:spacing w:line="360" w:lineRule="auto"/>
              <w:rPr>
                <w:rFonts w:ascii="Times New Roman" w:hAnsi="Times New Roman" w:eastAsia="宋体" w:cs="Times New Roman"/>
                <w:sz w:val="18"/>
                <w:szCs w:val="18"/>
              </w:rPr>
            </w:pPr>
            <w:r>
              <w:rPr>
                <w:rFonts w:hint="eastAsia" w:ascii="Times New Roman" w:hAnsi="Times New Roman" w:eastAsia="宋体" w:cs="Times New Roman"/>
                <w:sz w:val="18"/>
                <w:szCs w:val="18"/>
              </w:rPr>
              <w:t>（</w:t>
            </w:r>
            <w:r>
              <w:rPr>
                <w:rFonts w:hint="eastAsia" w:ascii="Times New Roman" w:hAnsi="Times New Roman" w:eastAsia="宋体" w:cs="Times New Roman"/>
                <w:sz w:val="18"/>
                <w:szCs w:val="18"/>
                <w:lang w:val="en-US" w:eastAsia="zh-CN"/>
              </w:rPr>
              <w:t>12</w:t>
            </w:r>
            <w:r>
              <w:rPr>
                <w:rFonts w:hint="eastAsia" w:ascii="Times New Roman" w:hAnsi="Times New Roman" w:eastAsia="宋体" w:cs="Times New Roman"/>
                <w:sz w:val="18"/>
                <w:szCs w:val="18"/>
              </w:rPr>
              <w:t>）</w:t>
            </w:r>
          </w:p>
        </w:tc>
        <w:tc>
          <w:tcPr>
            <w:tcW w:w="424" w:type="pct"/>
            <w:vAlign w:val="center"/>
          </w:tcPr>
          <w:p w14:paraId="239B3CC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680.36 </w:t>
            </w:r>
          </w:p>
        </w:tc>
        <w:tc>
          <w:tcPr>
            <w:tcW w:w="542" w:type="pct"/>
            <w:vAlign w:val="center"/>
          </w:tcPr>
          <w:p w14:paraId="2826240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98.53 </w:t>
            </w:r>
          </w:p>
        </w:tc>
        <w:tc>
          <w:tcPr>
            <w:tcW w:w="572" w:type="pct"/>
            <w:vAlign w:val="center"/>
          </w:tcPr>
          <w:p w14:paraId="52014D1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195.21 </w:t>
            </w:r>
          </w:p>
        </w:tc>
        <w:tc>
          <w:tcPr>
            <w:tcW w:w="478" w:type="pct"/>
            <w:vAlign w:val="center"/>
          </w:tcPr>
          <w:p w14:paraId="69183BA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174.48 </w:t>
            </w:r>
          </w:p>
        </w:tc>
        <w:tc>
          <w:tcPr>
            <w:tcW w:w="462" w:type="pct"/>
            <w:vAlign w:val="center"/>
          </w:tcPr>
          <w:p w14:paraId="5726F6F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28.15 </w:t>
            </w:r>
          </w:p>
        </w:tc>
        <w:tc>
          <w:tcPr>
            <w:tcW w:w="550" w:type="pct"/>
            <w:vAlign w:val="center"/>
          </w:tcPr>
          <w:p w14:paraId="33CA5DB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4.08 </w:t>
            </w:r>
          </w:p>
        </w:tc>
        <w:tc>
          <w:tcPr>
            <w:tcW w:w="469" w:type="pct"/>
            <w:vAlign w:val="center"/>
          </w:tcPr>
          <w:p w14:paraId="6BEEC6E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8.08 </w:t>
            </w:r>
          </w:p>
        </w:tc>
        <w:tc>
          <w:tcPr>
            <w:tcW w:w="447" w:type="pct"/>
            <w:vAlign w:val="center"/>
          </w:tcPr>
          <w:p w14:paraId="68D7020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7.22 </w:t>
            </w:r>
          </w:p>
        </w:tc>
        <w:tc>
          <w:tcPr>
            <w:tcW w:w="605" w:type="pct"/>
            <w:shd w:val="clear" w:color="auto" w:fill="auto"/>
            <w:vAlign w:val="center"/>
          </w:tcPr>
          <w:p w14:paraId="49C9B07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41.37 </w:t>
            </w:r>
          </w:p>
        </w:tc>
      </w:tr>
      <w:tr w14:paraId="32CAF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tcPr>
          <w:p w14:paraId="3EB79714">
            <w:pPr>
              <w:keepLines w:val="0"/>
              <w:pageBreakBefore w:val="0"/>
              <w:wordWrap/>
              <w:overflowPunct/>
              <w:topLinePunct w:val="0"/>
              <w:bidi w:val="0"/>
              <w:spacing w:line="360" w:lineRule="auto"/>
              <w:rPr>
                <w:rFonts w:hint="eastAsia" w:ascii="Times New Roman" w:hAnsi="Times New Roman" w:eastAsia="宋体" w:cs="Times New Roman"/>
                <w:sz w:val="18"/>
                <w:szCs w:val="18"/>
                <w:lang w:eastAsia="zh-CN"/>
              </w:rPr>
            </w:pPr>
            <w:r>
              <w:rPr>
                <w:rFonts w:hint="eastAsia" w:ascii="Times New Roman" w:hAnsi="Times New Roman" w:eastAsia="宋体" w:cs="Times New Roman"/>
                <w:sz w:val="18"/>
                <w:szCs w:val="18"/>
                <w:lang w:eastAsia="zh-CN"/>
              </w:rPr>
              <w:t>（</w:t>
            </w:r>
            <w:r>
              <w:rPr>
                <w:rFonts w:hint="eastAsia" w:ascii="Times New Roman" w:hAnsi="Times New Roman" w:eastAsia="宋体" w:cs="Times New Roman"/>
                <w:sz w:val="18"/>
                <w:szCs w:val="18"/>
                <w:lang w:val="en-US" w:eastAsia="zh-CN"/>
              </w:rPr>
              <w:t>13</w:t>
            </w:r>
            <w:r>
              <w:rPr>
                <w:rFonts w:hint="eastAsia" w:ascii="Times New Roman" w:hAnsi="Times New Roman" w:eastAsia="宋体" w:cs="Times New Roman"/>
                <w:sz w:val="18"/>
                <w:szCs w:val="18"/>
                <w:lang w:eastAsia="zh-CN"/>
              </w:rPr>
              <w:t>）</w:t>
            </w:r>
          </w:p>
        </w:tc>
        <w:tc>
          <w:tcPr>
            <w:tcW w:w="424" w:type="pct"/>
            <w:vAlign w:val="center"/>
          </w:tcPr>
          <w:p w14:paraId="7D74586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552.43 </w:t>
            </w:r>
          </w:p>
        </w:tc>
        <w:tc>
          <w:tcPr>
            <w:tcW w:w="542" w:type="pct"/>
            <w:vAlign w:val="center"/>
          </w:tcPr>
          <w:p w14:paraId="3322E42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86.73 </w:t>
            </w:r>
          </w:p>
        </w:tc>
        <w:tc>
          <w:tcPr>
            <w:tcW w:w="572" w:type="pct"/>
            <w:vAlign w:val="center"/>
          </w:tcPr>
          <w:p w14:paraId="1812CEC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195.21 </w:t>
            </w:r>
          </w:p>
        </w:tc>
        <w:tc>
          <w:tcPr>
            <w:tcW w:w="478" w:type="pct"/>
            <w:vAlign w:val="center"/>
          </w:tcPr>
          <w:p w14:paraId="57BB867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174.48 </w:t>
            </w:r>
          </w:p>
        </w:tc>
        <w:tc>
          <w:tcPr>
            <w:tcW w:w="462" w:type="pct"/>
            <w:vAlign w:val="center"/>
          </w:tcPr>
          <w:p w14:paraId="609BA91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28.00 </w:t>
            </w:r>
          </w:p>
        </w:tc>
        <w:tc>
          <w:tcPr>
            <w:tcW w:w="550" w:type="pct"/>
            <w:vAlign w:val="center"/>
          </w:tcPr>
          <w:p w14:paraId="00FDC45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4.40 </w:t>
            </w:r>
          </w:p>
        </w:tc>
        <w:tc>
          <w:tcPr>
            <w:tcW w:w="469" w:type="pct"/>
            <w:vAlign w:val="center"/>
          </w:tcPr>
          <w:p w14:paraId="5F619F7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9.89 </w:t>
            </w:r>
          </w:p>
        </w:tc>
        <w:tc>
          <w:tcPr>
            <w:tcW w:w="447" w:type="pct"/>
            <w:vAlign w:val="center"/>
          </w:tcPr>
          <w:p w14:paraId="0A1B90E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8.84 </w:t>
            </w:r>
          </w:p>
        </w:tc>
        <w:tc>
          <w:tcPr>
            <w:tcW w:w="605" w:type="pct"/>
            <w:shd w:val="clear" w:color="auto" w:fill="auto"/>
            <w:vAlign w:val="center"/>
          </w:tcPr>
          <w:p w14:paraId="6A752FEC">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50.69 </w:t>
            </w:r>
          </w:p>
        </w:tc>
      </w:tr>
      <w:tr w14:paraId="74911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tcPr>
          <w:p w14:paraId="3F0A7937">
            <w:pPr>
              <w:keepLines w:val="0"/>
              <w:pageBreakBefore w:val="0"/>
              <w:wordWrap/>
              <w:overflowPunct/>
              <w:topLinePunct w:val="0"/>
              <w:bidi w:val="0"/>
              <w:spacing w:line="360" w:lineRule="auto"/>
              <w:rPr>
                <w:rFonts w:hint="eastAsia" w:ascii="Times New Roman" w:hAnsi="Times New Roman" w:eastAsia="宋体" w:cs="Times New Roman"/>
                <w:sz w:val="18"/>
                <w:szCs w:val="18"/>
                <w:lang w:eastAsia="zh-CN"/>
              </w:rPr>
            </w:pPr>
            <w:r>
              <w:rPr>
                <w:rFonts w:hint="eastAsia" w:ascii="Times New Roman" w:hAnsi="Times New Roman" w:eastAsia="宋体" w:cs="Times New Roman"/>
                <w:sz w:val="18"/>
                <w:szCs w:val="18"/>
                <w:lang w:eastAsia="zh-CN"/>
              </w:rPr>
              <w:t>（</w:t>
            </w:r>
            <w:r>
              <w:rPr>
                <w:rFonts w:hint="eastAsia" w:ascii="Times New Roman" w:hAnsi="Times New Roman" w:eastAsia="宋体" w:cs="Times New Roman"/>
                <w:sz w:val="18"/>
                <w:szCs w:val="18"/>
                <w:lang w:val="en-US" w:eastAsia="zh-CN"/>
              </w:rPr>
              <w:t>14</w:t>
            </w:r>
            <w:r>
              <w:rPr>
                <w:rFonts w:hint="eastAsia" w:ascii="Times New Roman" w:hAnsi="Times New Roman" w:eastAsia="宋体" w:cs="Times New Roman"/>
                <w:sz w:val="18"/>
                <w:szCs w:val="18"/>
                <w:lang w:eastAsia="zh-CN"/>
              </w:rPr>
              <w:t>）</w:t>
            </w:r>
          </w:p>
        </w:tc>
        <w:tc>
          <w:tcPr>
            <w:tcW w:w="424" w:type="pct"/>
            <w:vAlign w:val="center"/>
          </w:tcPr>
          <w:p w14:paraId="7DBF960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509.58 </w:t>
            </w:r>
          </w:p>
        </w:tc>
        <w:tc>
          <w:tcPr>
            <w:tcW w:w="542" w:type="pct"/>
            <w:vAlign w:val="center"/>
          </w:tcPr>
          <w:p w14:paraId="4B92437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161.32 </w:t>
            </w:r>
          </w:p>
        </w:tc>
        <w:tc>
          <w:tcPr>
            <w:tcW w:w="572" w:type="pct"/>
            <w:vAlign w:val="center"/>
          </w:tcPr>
          <w:p w14:paraId="1B2DDE0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195.21 </w:t>
            </w:r>
          </w:p>
        </w:tc>
        <w:tc>
          <w:tcPr>
            <w:tcW w:w="478" w:type="pct"/>
            <w:vAlign w:val="center"/>
          </w:tcPr>
          <w:p w14:paraId="54FB3BE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174.48 </w:t>
            </w:r>
          </w:p>
        </w:tc>
        <w:tc>
          <w:tcPr>
            <w:tcW w:w="462" w:type="pct"/>
            <w:vAlign w:val="center"/>
          </w:tcPr>
          <w:p w14:paraId="34FB270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26.23 </w:t>
            </w:r>
          </w:p>
        </w:tc>
        <w:tc>
          <w:tcPr>
            <w:tcW w:w="550" w:type="pct"/>
            <w:vAlign w:val="center"/>
          </w:tcPr>
          <w:p w14:paraId="4E6BDB9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8.30 </w:t>
            </w:r>
          </w:p>
        </w:tc>
        <w:tc>
          <w:tcPr>
            <w:tcW w:w="469" w:type="pct"/>
            <w:vAlign w:val="center"/>
          </w:tcPr>
          <w:p w14:paraId="23E7339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10.05 </w:t>
            </w:r>
          </w:p>
        </w:tc>
        <w:tc>
          <w:tcPr>
            <w:tcW w:w="447" w:type="pct"/>
            <w:vAlign w:val="center"/>
          </w:tcPr>
          <w:p w14:paraId="6CDDA26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8.98 </w:t>
            </w:r>
          </w:p>
        </w:tc>
        <w:tc>
          <w:tcPr>
            <w:tcW w:w="605" w:type="pct"/>
            <w:shd w:val="clear" w:color="auto" w:fill="auto"/>
            <w:vAlign w:val="center"/>
          </w:tcPr>
          <w:p w14:paraId="67125724">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51.47 </w:t>
            </w:r>
          </w:p>
        </w:tc>
      </w:tr>
      <w:tr w14:paraId="17719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tcPr>
          <w:p w14:paraId="55E35D3C">
            <w:pPr>
              <w:keepLines w:val="0"/>
              <w:pageBreakBefore w:val="0"/>
              <w:wordWrap/>
              <w:overflowPunct/>
              <w:topLinePunct w:val="0"/>
              <w:bidi w:val="0"/>
              <w:spacing w:line="360" w:lineRule="auto"/>
              <w:rPr>
                <w:rFonts w:hint="eastAsia" w:ascii="Times New Roman" w:hAnsi="Times New Roman" w:eastAsia="宋体" w:cs="Times New Roman"/>
                <w:sz w:val="18"/>
                <w:szCs w:val="18"/>
                <w:lang w:eastAsia="zh-CN"/>
              </w:rPr>
            </w:pPr>
            <w:r>
              <w:rPr>
                <w:rFonts w:hint="eastAsia" w:ascii="Times New Roman" w:hAnsi="Times New Roman" w:eastAsia="宋体" w:cs="Times New Roman"/>
                <w:sz w:val="18"/>
                <w:szCs w:val="18"/>
                <w:lang w:eastAsia="zh-CN"/>
              </w:rPr>
              <w:t>（</w:t>
            </w:r>
            <w:r>
              <w:rPr>
                <w:rFonts w:hint="eastAsia" w:ascii="Times New Roman" w:hAnsi="Times New Roman" w:eastAsia="宋体" w:cs="Times New Roman"/>
                <w:sz w:val="18"/>
                <w:szCs w:val="18"/>
                <w:lang w:val="en-US" w:eastAsia="zh-CN"/>
              </w:rPr>
              <w:t>15</w:t>
            </w:r>
            <w:r>
              <w:rPr>
                <w:rFonts w:hint="eastAsia" w:ascii="Times New Roman" w:hAnsi="Times New Roman" w:eastAsia="宋体" w:cs="Times New Roman"/>
                <w:sz w:val="18"/>
                <w:szCs w:val="18"/>
                <w:lang w:eastAsia="zh-CN"/>
              </w:rPr>
              <w:t>）</w:t>
            </w:r>
          </w:p>
        </w:tc>
        <w:tc>
          <w:tcPr>
            <w:tcW w:w="424" w:type="pct"/>
            <w:vAlign w:val="center"/>
          </w:tcPr>
          <w:p w14:paraId="7152BB7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522.13 </w:t>
            </w:r>
          </w:p>
        </w:tc>
        <w:tc>
          <w:tcPr>
            <w:tcW w:w="542" w:type="pct"/>
            <w:vAlign w:val="center"/>
          </w:tcPr>
          <w:p w14:paraId="351D385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150.68 </w:t>
            </w:r>
          </w:p>
        </w:tc>
        <w:tc>
          <w:tcPr>
            <w:tcW w:w="572" w:type="pct"/>
            <w:vAlign w:val="center"/>
          </w:tcPr>
          <w:p w14:paraId="7738D23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195.21 </w:t>
            </w:r>
          </w:p>
        </w:tc>
        <w:tc>
          <w:tcPr>
            <w:tcW w:w="478" w:type="pct"/>
            <w:vAlign w:val="center"/>
          </w:tcPr>
          <w:p w14:paraId="6561E29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174.48 </w:t>
            </w:r>
          </w:p>
        </w:tc>
        <w:tc>
          <w:tcPr>
            <w:tcW w:w="462" w:type="pct"/>
            <w:vAlign w:val="center"/>
          </w:tcPr>
          <w:p w14:paraId="051ACDF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26.52 </w:t>
            </w:r>
          </w:p>
        </w:tc>
        <w:tc>
          <w:tcPr>
            <w:tcW w:w="550" w:type="pct"/>
            <w:vAlign w:val="center"/>
          </w:tcPr>
          <w:p w14:paraId="0E3E97A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7.65 </w:t>
            </w:r>
          </w:p>
        </w:tc>
        <w:tc>
          <w:tcPr>
            <w:tcW w:w="469" w:type="pct"/>
            <w:vAlign w:val="center"/>
          </w:tcPr>
          <w:p w14:paraId="3F63966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9.92 </w:t>
            </w:r>
          </w:p>
        </w:tc>
        <w:tc>
          <w:tcPr>
            <w:tcW w:w="447" w:type="pct"/>
            <w:vAlign w:val="center"/>
          </w:tcPr>
          <w:p w14:paraId="0AB770B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8.86 </w:t>
            </w:r>
          </w:p>
        </w:tc>
        <w:tc>
          <w:tcPr>
            <w:tcW w:w="605" w:type="pct"/>
            <w:vAlign w:val="center"/>
          </w:tcPr>
          <w:p w14:paraId="7A02E09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50.79 </w:t>
            </w:r>
          </w:p>
        </w:tc>
      </w:tr>
      <w:tr w14:paraId="0449A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1EE1AEBD">
            <w:pPr>
              <w:keepLines w:val="0"/>
              <w:pageBreakBefore w:val="0"/>
              <w:wordWrap/>
              <w:overflowPunct/>
              <w:topLinePunct w:val="0"/>
              <w:bidi w:val="0"/>
              <w:spacing w:line="360" w:lineRule="auto"/>
              <w:rPr>
                <w:rFonts w:hint="eastAsia" w:ascii="Times New Roman" w:hAnsi="Times New Roman" w:eastAsia="宋体" w:cs="Times New Roman"/>
                <w:kern w:val="2"/>
                <w:sz w:val="18"/>
                <w:szCs w:val="18"/>
                <w:lang w:val="en-US" w:eastAsia="zh-CN" w:bidi="ar-SA"/>
              </w:rPr>
            </w:pPr>
            <w:r>
              <w:rPr>
                <w:rFonts w:ascii="Times New Roman" w:hAnsi="Times New Roman" w:eastAsia="宋体" w:cs="Times New Roman"/>
                <w:sz w:val="18"/>
                <w:szCs w:val="18"/>
              </w:rPr>
              <w:t>（</w:t>
            </w:r>
            <w:r>
              <w:rPr>
                <w:rFonts w:hint="eastAsia" w:ascii="Times New Roman" w:hAnsi="Times New Roman" w:eastAsia="宋体" w:cs="Times New Roman"/>
                <w:sz w:val="18"/>
                <w:szCs w:val="18"/>
                <w:lang w:val="en-US" w:eastAsia="zh-CN"/>
              </w:rPr>
              <w:t>1</w:t>
            </w:r>
            <w:r>
              <w:rPr>
                <w:rFonts w:ascii="Times New Roman" w:hAnsi="Times New Roman" w:eastAsia="宋体" w:cs="Times New Roman"/>
                <w:sz w:val="18"/>
                <w:szCs w:val="18"/>
              </w:rPr>
              <w:t>6）</w:t>
            </w:r>
          </w:p>
        </w:tc>
        <w:tc>
          <w:tcPr>
            <w:tcW w:w="424" w:type="pct"/>
            <w:vAlign w:val="center"/>
          </w:tcPr>
          <w:p w14:paraId="4406D81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520.01 </w:t>
            </w:r>
          </w:p>
        </w:tc>
        <w:tc>
          <w:tcPr>
            <w:tcW w:w="542" w:type="pct"/>
            <w:vAlign w:val="center"/>
          </w:tcPr>
          <w:p w14:paraId="47AF0BA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118.45 </w:t>
            </w:r>
          </w:p>
        </w:tc>
        <w:tc>
          <w:tcPr>
            <w:tcW w:w="572" w:type="pct"/>
            <w:vAlign w:val="center"/>
          </w:tcPr>
          <w:p w14:paraId="57030AE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195.21 </w:t>
            </w:r>
          </w:p>
        </w:tc>
        <w:tc>
          <w:tcPr>
            <w:tcW w:w="478" w:type="pct"/>
            <w:vAlign w:val="center"/>
          </w:tcPr>
          <w:p w14:paraId="6ACAEA3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174.48 </w:t>
            </w:r>
          </w:p>
        </w:tc>
        <w:tc>
          <w:tcPr>
            <w:tcW w:w="462" w:type="pct"/>
            <w:vAlign w:val="center"/>
          </w:tcPr>
          <w:p w14:paraId="01D8BA4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27.19 </w:t>
            </w:r>
          </w:p>
        </w:tc>
        <w:tc>
          <w:tcPr>
            <w:tcW w:w="550" w:type="pct"/>
            <w:vAlign w:val="center"/>
          </w:tcPr>
          <w:p w14:paraId="55FCA61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6.19 </w:t>
            </w:r>
          </w:p>
        </w:tc>
        <w:tc>
          <w:tcPr>
            <w:tcW w:w="469" w:type="pct"/>
            <w:vAlign w:val="center"/>
          </w:tcPr>
          <w:p w14:paraId="30009D8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10.21 </w:t>
            </w:r>
          </w:p>
        </w:tc>
        <w:tc>
          <w:tcPr>
            <w:tcW w:w="447" w:type="pct"/>
            <w:vAlign w:val="center"/>
          </w:tcPr>
          <w:p w14:paraId="32592C7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9.12 </w:t>
            </w:r>
          </w:p>
        </w:tc>
        <w:tc>
          <w:tcPr>
            <w:tcW w:w="605" w:type="pct"/>
            <w:vAlign w:val="center"/>
          </w:tcPr>
          <w:p w14:paraId="380ECDAC">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52.28 </w:t>
            </w:r>
          </w:p>
        </w:tc>
      </w:tr>
      <w:tr w14:paraId="31E89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16CE15FE">
            <w:pPr>
              <w:keepLines w:val="0"/>
              <w:pageBreakBefore w:val="0"/>
              <w:wordWrap/>
              <w:overflowPunct/>
              <w:topLinePunct w:val="0"/>
              <w:bidi w:val="0"/>
              <w:spacing w:line="360" w:lineRule="auto"/>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sz w:val="18"/>
                <w:szCs w:val="18"/>
              </w:rPr>
              <w:t>（</w:t>
            </w:r>
            <w:r>
              <w:rPr>
                <w:rFonts w:hint="eastAsia" w:ascii="Times New Roman" w:hAnsi="Times New Roman" w:eastAsia="宋体" w:cs="Times New Roman"/>
                <w:sz w:val="18"/>
                <w:szCs w:val="18"/>
                <w:lang w:val="en-US" w:eastAsia="zh-CN"/>
              </w:rPr>
              <w:t>1</w:t>
            </w:r>
            <w:r>
              <w:rPr>
                <w:rFonts w:hint="eastAsia" w:ascii="Times New Roman" w:hAnsi="Times New Roman" w:eastAsia="宋体" w:cs="Times New Roman"/>
                <w:sz w:val="18"/>
                <w:szCs w:val="18"/>
              </w:rPr>
              <w:t>7）</w:t>
            </w:r>
          </w:p>
        </w:tc>
        <w:tc>
          <w:tcPr>
            <w:tcW w:w="424" w:type="pct"/>
            <w:vAlign w:val="center"/>
          </w:tcPr>
          <w:p w14:paraId="5719FA7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548.57 </w:t>
            </w:r>
          </w:p>
        </w:tc>
        <w:tc>
          <w:tcPr>
            <w:tcW w:w="542" w:type="pct"/>
            <w:vAlign w:val="center"/>
          </w:tcPr>
          <w:p w14:paraId="697F6DE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307.40 </w:t>
            </w:r>
          </w:p>
        </w:tc>
        <w:tc>
          <w:tcPr>
            <w:tcW w:w="572" w:type="pct"/>
            <w:vAlign w:val="center"/>
          </w:tcPr>
          <w:p w14:paraId="636D1B6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195.21 </w:t>
            </w:r>
          </w:p>
        </w:tc>
        <w:tc>
          <w:tcPr>
            <w:tcW w:w="478" w:type="pct"/>
            <w:vAlign w:val="center"/>
          </w:tcPr>
          <w:p w14:paraId="3927F74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190.34 </w:t>
            </w:r>
          </w:p>
        </w:tc>
        <w:tc>
          <w:tcPr>
            <w:tcW w:w="462" w:type="pct"/>
            <w:vAlign w:val="center"/>
          </w:tcPr>
          <w:p w14:paraId="010E4BB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23.91 </w:t>
            </w:r>
          </w:p>
        </w:tc>
        <w:tc>
          <w:tcPr>
            <w:tcW w:w="550" w:type="pct"/>
            <w:vAlign w:val="center"/>
          </w:tcPr>
          <w:p w14:paraId="695FEA9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13.40 </w:t>
            </w:r>
          </w:p>
        </w:tc>
        <w:tc>
          <w:tcPr>
            <w:tcW w:w="469" w:type="pct"/>
            <w:vAlign w:val="center"/>
          </w:tcPr>
          <w:p w14:paraId="4D7DDA1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8.51 </w:t>
            </w:r>
          </w:p>
        </w:tc>
        <w:tc>
          <w:tcPr>
            <w:tcW w:w="447" w:type="pct"/>
            <w:vAlign w:val="center"/>
          </w:tcPr>
          <w:p w14:paraId="2A54A36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8.30 </w:t>
            </w:r>
          </w:p>
        </w:tc>
        <w:tc>
          <w:tcPr>
            <w:tcW w:w="605" w:type="pct"/>
            <w:vAlign w:val="center"/>
          </w:tcPr>
          <w:p w14:paraId="58ADE284">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43.59 </w:t>
            </w:r>
          </w:p>
        </w:tc>
      </w:tr>
      <w:tr w14:paraId="19618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7B93CA26">
            <w:pPr>
              <w:keepLines w:val="0"/>
              <w:pageBreakBefore w:val="0"/>
              <w:wordWrap/>
              <w:overflowPunct/>
              <w:topLinePunct w:val="0"/>
              <w:bidi w:val="0"/>
              <w:spacing w:line="360" w:lineRule="auto"/>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sz w:val="18"/>
                <w:szCs w:val="18"/>
              </w:rPr>
              <w:t>（</w:t>
            </w:r>
            <w:r>
              <w:rPr>
                <w:rFonts w:hint="eastAsia" w:ascii="Times New Roman" w:hAnsi="Times New Roman" w:eastAsia="宋体" w:cs="Times New Roman"/>
                <w:sz w:val="18"/>
                <w:szCs w:val="18"/>
                <w:lang w:val="en-US" w:eastAsia="zh-CN"/>
              </w:rPr>
              <w:t>1</w:t>
            </w:r>
            <w:r>
              <w:rPr>
                <w:rFonts w:hint="eastAsia" w:ascii="Times New Roman" w:hAnsi="Times New Roman" w:eastAsia="宋体" w:cs="Times New Roman"/>
                <w:sz w:val="18"/>
                <w:szCs w:val="18"/>
              </w:rPr>
              <w:t>8）</w:t>
            </w:r>
          </w:p>
        </w:tc>
        <w:tc>
          <w:tcPr>
            <w:tcW w:w="424" w:type="pct"/>
            <w:vAlign w:val="center"/>
          </w:tcPr>
          <w:p w14:paraId="3C7264F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464.50 </w:t>
            </w:r>
          </w:p>
        </w:tc>
        <w:tc>
          <w:tcPr>
            <w:tcW w:w="542" w:type="pct"/>
            <w:vAlign w:val="center"/>
          </w:tcPr>
          <w:p w14:paraId="45282EB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243.89 </w:t>
            </w:r>
          </w:p>
        </w:tc>
        <w:tc>
          <w:tcPr>
            <w:tcW w:w="572" w:type="pct"/>
            <w:vAlign w:val="center"/>
          </w:tcPr>
          <w:p w14:paraId="7CD5064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195.21 </w:t>
            </w:r>
          </w:p>
        </w:tc>
        <w:tc>
          <w:tcPr>
            <w:tcW w:w="478" w:type="pct"/>
            <w:vAlign w:val="center"/>
          </w:tcPr>
          <w:p w14:paraId="34BAE1A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190.34 </w:t>
            </w:r>
          </w:p>
        </w:tc>
        <w:tc>
          <w:tcPr>
            <w:tcW w:w="462" w:type="pct"/>
            <w:vAlign w:val="center"/>
          </w:tcPr>
          <w:p w14:paraId="494D6D0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24.22 </w:t>
            </w:r>
          </w:p>
        </w:tc>
        <w:tc>
          <w:tcPr>
            <w:tcW w:w="550" w:type="pct"/>
            <w:vAlign w:val="center"/>
          </w:tcPr>
          <w:p w14:paraId="7573325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12.72 </w:t>
            </w:r>
          </w:p>
        </w:tc>
        <w:tc>
          <w:tcPr>
            <w:tcW w:w="469" w:type="pct"/>
            <w:vAlign w:val="center"/>
          </w:tcPr>
          <w:p w14:paraId="7E5D078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10.18 </w:t>
            </w:r>
          </w:p>
        </w:tc>
        <w:tc>
          <w:tcPr>
            <w:tcW w:w="447" w:type="pct"/>
            <w:vAlign w:val="center"/>
          </w:tcPr>
          <w:p w14:paraId="6A685D0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9.92 </w:t>
            </w:r>
          </w:p>
        </w:tc>
        <w:tc>
          <w:tcPr>
            <w:tcW w:w="605" w:type="pct"/>
            <w:vAlign w:val="center"/>
          </w:tcPr>
          <w:p w14:paraId="27AEBD9C">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52.14 </w:t>
            </w:r>
          </w:p>
        </w:tc>
      </w:tr>
      <w:tr w14:paraId="1DB41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5E711302">
            <w:pPr>
              <w:keepLines w:val="0"/>
              <w:pageBreakBefore w:val="0"/>
              <w:wordWrap/>
              <w:overflowPunct/>
              <w:topLinePunct w:val="0"/>
              <w:bidi w:val="0"/>
              <w:spacing w:line="360" w:lineRule="auto"/>
              <w:rPr>
                <w:rFonts w:hint="eastAsia" w:ascii="Times New Roman" w:hAnsi="Times New Roman" w:eastAsia="宋体" w:cs="Times New Roman"/>
                <w:kern w:val="2"/>
                <w:sz w:val="18"/>
                <w:szCs w:val="18"/>
                <w:lang w:val="en-US" w:eastAsia="zh-CN" w:bidi="ar-SA"/>
              </w:rPr>
            </w:pPr>
            <w:r>
              <w:rPr>
                <w:rFonts w:ascii="Times New Roman" w:hAnsi="Times New Roman" w:eastAsia="宋体" w:cs="Times New Roman"/>
                <w:sz w:val="18"/>
                <w:szCs w:val="18"/>
              </w:rPr>
              <w:t>（</w:t>
            </w:r>
            <w:r>
              <w:rPr>
                <w:rFonts w:hint="eastAsia" w:ascii="Times New Roman" w:hAnsi="Times New Roman" w:eastAsia="宋体" w:cs="Times New Roman"/>
                <w:sz w:val="18"/>
                <w:szCs w:val="18"/>
                <w:lang w:val="en-US" w:eastAsia="zh-CN"/>
              </w:rPr>
              <w:t>19</w:t>
            </w:r>
            <w:r>
              <w:rPr>
                <w:rFonts w:ascii="Times New Roman" w:hAnsi="Times New Roman" w:eastAsia="宋体" w:cs="Times New Roman"/>
                <w:sz w:val="18"/>
                <w:szCs w:val="18"/>
              </w:rPr>
              <w:t>）</w:t>
            </w:r>
          </w:p>
        </w:tc>
        <w:tc>
          <w:tcPr>
            <w:tcW w:w="424" w:type="pct"/>
            <w:vAlign w:val="center"/>
          </w:tcPr>
          <w:p w14:paraId="792F40D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284.62 </w:t>
            </w:r>
          </w:p>
        </w:tc>
        <w:tc>
          <w:tcPr>
            <w:tcW w:w="542" w:type="pct"/>
            <w:vAlign w:val="center"/>
          </w:tcPr>
          <w:p w14:paraId="2D478DA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114.10 </w:t>
            </w:r>
          </w:p>
        </w:tc>
        <w:tc>
          <w:tcPr>
            <w:tcW w:w="572" w:type="pct"/>
            <w:vAlign w:val="center"/>
          </w:tcPr>
          <w:p w14:paraId="0ACC8A9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266.20 </w:t>
            </w:r>
          </w:p>
        </w:tc>
        <w:tc>
          <w:tcPr>
            <w:tcW w:w="478" w:type="pct"/>
            <w:vAlign w:val="center"/>
          </w:tcPr>
          <w:p w14:paraId="3CD5053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237.93 </w:t>
            </w:r>
          </w:p>
        </w:tc>
        <w:tc>
          <w:tcPr>
            <w:tcW w:w="462" w:type="pct"/>
            <w:vAlign w:val="center"/>
          </w:tcPr>
          <w:p w14:paraId="22077BD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25.38 </w:t>
            </w:r>
          </w:p>
        </w:tc>
        <w:tc>
          <w:tcPr>
            <w:tcW w:w="550" w:type="pct"/>
            <w:vAlign w:val="center"/>
          </w:tcPr>
          <w:p w14:paraId="2CDAD7A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10.17 </w:t>
            </w:r>
          </w:p>
        </w:tc>
        <w:tc>
          <w:tcPr>
            <w:tcW w:w="469" w:type="pct"/>
            <w:vAlign w:val="center"/>
          </w:tcPr>
          <w:p w14:paraId="7F57222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23.73 </w:t>
            </w:r>
          </w:p>
        </w:tc>
        <w:tc>
          <w:tcPr>
            <w:tcW w:w="447" w:type="pct"/>
            <w:vAlign w:val="center"/>
          </w:tcPr>
          <w:p w14:paraId="6C1202F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21.21 </w:t>
            </w:r>
          </w:p>
        </w:tc>
        <w:tc>
          <w:tcPr>
            <w:tcW w:w="605" w:type="pct"/>
            <w:vAlign w:val="center"/>
          </w:tcPr>
          <w:p w14:paraId="7DE74481">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89.16 </w:t>
            </w:r>
          </w:p>
        </w:tc>
      </w:tr>
      <w:tr w14:paraId="258A1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51F1F56F">
            <w:pPr>
              <w:keepLines w:val="0"/>
              <w:pageBreakBefore w:val="0"/>
              <w:wordWrap/>
              <w:overflowPunct/>
              <w:topLinePunct w:val="0"/>
              <w:bidi w:val="0"/>
              <w:spacing w:line="360" w:lineRule="auto"/>
              <w:rPr>
                <w:rFonts w:hint="eastAsia" w:ascii="Times New Roman" w:hAnsi="Times New Roman" w:eastAsia="宋体" w:cs="Times New Roman"/>
                <w:kern w:val="2"/>
                <w:sz w:val="18"/>
                <w:szCs w:val="18"/>
                <w:lang w:val="en-US" w:eastAsia="zh-CN" w:bidi="ar-SA"/>
              </w:rPr>
            </w:pPr>
            <w:r>
              <w:rPr>
                <w:rFonts w:ascii="Times New Roman" w:hAnsi="Times New Roman" w:eastAsia="宋体" w:cs="Times New Roman"/>
                <w:sz w:val="18"/>
                <w:szCs w:val="18"/>
              </w:rPr>
              <w:t>（</w:t>
            </w:r>
            <w:r>
              <w:rPr>
                <w:rFonts w:hint="eastAsia" w:ascii="Times New Roman" w:hAnsi="Times New Roman" w:eastAsia="宋体" w:cs="Times New Roman"/>
                <w:sz w:val="18"/>
                <w:szCs w:val="18"/>
                <w:lang w:val="en-US" w:eastAsia="zh-CN"/>
              </w:rPr>
              <w:t>20</w:t>
            </w:r>
            <w:r>
              <w:rPr>
                <w:rFonts w:ascii="Times New Roman" w:hAnsi="Times New Roman" w:eastAsia="宋体" w:cs="Times New Roman"/>
                <w:sz w:val="18"/>
                <w:szCs w:val="18"/>
              </w:rPr>
              <w:t>）</w:t>
            </w:r>
          </w:p>
        </w:tc>
        <w:tc>
          <w:tcPr>
            <w:tcW w:w="424" w:type="pct"/>
            <w:vAlign w:val="center"/>
          </w:tcPr>
          <w:p w14:paraId="0995153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260.28 </w:t>
            </w:r>
          </w:p>
        </w:tc>
        <w:tc>
          <w:tcPr>
            <w:tcW w:w="542" w:type="pct"/>
            <w:vAlign w:val="center"/>
          </w:tcPr>
          <w:p w14:paraId="75F57F0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179.06 </w:t>
            </w:r>
          </w:p>
        </w:tc>
        <w:tc>
          <w:tcPr>
            <w:tcW w:w="572" w:type="pct"/>
            <w:vAlign w:val="center"/>
          </w:tcPr>
          <w:p w14:paraId="56D470B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266.20 </w:t>
            </w:r>
          </w:p>
        </w:tc>
        <w:tc>
          <w:tcPr>
            <w:tcW w:w="478" w:type="pct"/>
            <w:vAlign w:val="center"/>
          </w:tcPr>
          <w:p w14:paraId="594EEA1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237.93 </w:t>
            </w:r>
          </w:p>
        </w:tc>
        <w:tc>
          <w:tcPr>
            <w:tcW w:w="462" w:type="pct"/>
            <w:vAlign w:val="center"/>
          </w:tcPr>
          <w:p w14:paraId="4567250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22.85 </w:t>
            </w:r>
          </w:p>
        </w:tc>
        <w:tc>
          <w:tcPr>
            <w:tcW w:w="550" w:type="pct"/>
            <w:vAlign w:val="center"/>
          </w:tcPr>
          <w:p w14:paraId="796243E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15.72 </w:t>
            </w:r>
          </w:p>
        </w:tc>
        <w:tc>
          <w:tcPr>
            <w:tcW w:w="469" w:type="pct"/>
            <w:vAlign w:val="center"/>
          </w:tcPr>
          <w:p w14:paraId="34FDE5C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23.37 </w:t>
            </w:r>
          </w:p>
        </w:tc>
        <w:tc>
          <w:tcPr>
            <w:tcW w:w="447" w:type="pct"/>
            <w:vAlign w:val="center"/>
          </w:tcPr>
          <w:p w14:paraId="7E0A901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20.89 </w:t>
            </w:r>
          </w:p>
        </w:tc>
        <w:tc>
          <w:tcPr>
            <w:tcW w:w="605" w:type="pct"/>
            <w:vAlign w:val="center"/>
          </w:tcPr>
          <w:p w14:paraId="766A9687">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87.80 </w:t>
            </w:r>
          </w:p>
        </w:tc>
      </w:tr>
      <w:tr w14:paraId="5F01E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25A85E0A">
            <w:pPr>
              <w:keepLines w:val="0"/>
              <w:pageBreakBefore w:val="0"/>
              <w:wordWrap/>
              <w:overflowPunct/>
              <w:topLinePunct w:val="0"/>
              <w:bidi w:val="0"/>
              <w:spacing w:line="360" w:lineRule="auto"/>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sz w:val="18"/>
                <w:szCs w:val="18"/>
              </w:rPr>
              <w:t>（</w:t>
            </w:r>
            <w:r>
              <w:rPr>
                <w:rFonts w:hint="eastAsia" w:ascii="Times New Roman" w:hAnsi="Times New Roman" w:eastAsia="宋体" w:cs="Times New Roman"/>
                <w:sz w:val="18"/>
                <w:szCs w:val="18"/>
                <w:lang w:val="en-US" w:eastAsia="zh-CN"/>
              </w:rPr>
              <w:t>21</w:t>
            </w:r>
            <w:r>
              <w:rPr>
                <w:rFonts w:hint="eastAsia" w:ascii="Times New Roman" w:hAnsi="Times New Roman" w:eastAsia="宋体" w:cs="Times New Roman"/>
                <w:sz w:val="18"/>
                <w:szCs w:val="18"/>
              </w:rPr>
              <w:t>）</w:t>
            </w:r>
          </w:p>
        </w:tc>
        <w:tc>
          <w:tcPr>
            <w:tcW w:w="424" w:type="pct"/>
            <w:vAlign w:val="center"/>
          </w:tcPr>
          <w:p w14:paraId="20D5133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412.39 </w:t>
            </w:r>
          </w:p>
        </w:tc>
        <w:tc>
          <w:tcPr>
            <w:tcW w:w="542" w:type="pct"/>
            <w:vAlign w:val="center"/>
          </w:tcPr>
          <w:p w14:paraId="0AD1B1B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253.82 </w:t>
            </w:r>
          </w:p>
        </w:tc>
        <w:tc>
          <w:tcPr>
            <w:tcW w:w="572" w:type="pct"/>
            <w:vAlign w:val="center"/>
          </w:tcPr>
          <w:p w14:paraId="3550843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195.21 </w:t>
            </w:r>
          </w:p>
        </w:tc>
        <w:tc>
          <w:tcPr>
            <w:tcW w:w="478" w:type="pct"/>
            <w:vAlign w:val="center"/>
          </w:tcPr>
          <w:p w14:paraId="748E52E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174.48 </w:t>
            </w:r>
          </w:p>
        </w:tc>
        <w:tc>
          <w:tcPr>
            <w:tcW w:w="462" w:type="pct"/>
            <w:vAlign w:val="center"/>
          </w:tcPr>
          <w:p w14:paraId="4D1DA6E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23.44 </w:t>
            </w:r>
          </w:p>
        </w:tc>
        <w:tc>
          <w:tcPr>
            <w:tcW w:w="550" w:type="pct"/>
            <w:vAlign w:val="center"/>
          </w:tcPr>
          <w:p w14:paraId="13D6A7C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14.43 </w:t>
            </w:r>
          </w:p>
        </w:tc>
        <w:tc>
          <w:tcPr>
            <w:tcW w:w="469" w:type="pct"/>
            <w:vAlign w:val="center"/>
          </w:tcPr>
          <w:p w14:paraId="356F6C5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11.10 </w:t>
            </w:r>
          </w:p>
        </w:tc>
        <w:tc>
          <w:tcPr>
            <w:tcW w:w="447" w:type="pct"/>
            <w:vAlign w:val="center"/>
          </w:tcPr>
          <w:p w14:paraId="3723879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9.92 </w:t>
            </w:r>
          </w:p>
        </w:tc>
        <w:tc>
          <w:tcPr>
            <w:tcW w:w="605" w:type="pct"/>
            <w:vAlign w:val="center"/>
          </w:tcPr>
          <w:p w14:paraId="6832BD25">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56.84 </w:t>
            </w:r>
          </w:p>
        </w:tc>
      </w:tr>
      <w:tr w14:paraId="75640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4B7B8050">
            <w:pPr>
              <w:keepLines w:val="0"/>
              <w:pageBreakBefore w:val="0"/>
              <w:wordWrap/>
              <w:overflowPunct/>
              <w:topLinePunct w:val="0"/>
              <w:bidi w:val="0"/>
              <w:spacing w:line="360" w:lineRule="auto"/>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sz w:val="18"/>
                <w:szCs w:val="18"/>
              </w:rPr>
              <w:t>（</w:t>
            </w:r>
            <w:r>
              <w:rPr>
                <w:rFonts w:hint="eastAsia" w:ascii="Times New Roman" w:hAnsi="Times New Roman" w:eastAsia="宋体" w:cs="Times New Roman"/>
                <w:sz w:val="18"/>
                <w:szCs w:val="18"/>
                <w:lang w:val="en-US" w:eastAsia="zh-CN"/>
              </w:rPr>
              <w:t>22</w:t>
            </w:r>
            <w:r>
              <w:rPr>
                <w:rFonts w:hint="eastAsia" w:ascii="Times New Roman" w:hAnsi="Times New Roman" w:eastAsia="宋体" w:cs="Times New Roman"/>
                <w:sz w:val="18"/>
                <w:szCs w:val="18"/>
              </w:rPr>
              <w:t>）</w:t>
            </w:r>
          </w:p>
        </w:tc>
        <w:tc>
          <w:tcPr>
            <w:tcW w:w="424" w:type="pct"/>
            <w:vAlign w:val="center"/>
          </w:tcPr>
          <w:p w14:paraId="363E99E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216.23 </w:t>
            </w:r>
          </w:p>
        </w:tc>
        <w:tc>
          <w:tcPr>
            <w:tcW w:w="542" w:type="pct"/>
            <w:vAlign w:val="center"/>
          </w:tcPr>
          <w:p w14:paraId="51E0570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299.08 </w:t>
            </w:r>
          </w:p>
        </w:tc>
        <w:tc>
          <w:tcPr>
            <w:tcW w:w="572" w:type="pct"/>
            <w:vAlign w:val="center"/>
          </w:tcPr>
          <w:p w14:paraId="7A3BAFF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283.94 </w:t>
            </w:r>
          </w:p>
        </w:tc>
        <w:tc>
          <w:tcPr>
            <w:tcW w:w="478" w:type="pct"/>
            <w:vAlign w:val="center"/>
          </w:tcPr>
          <w:p w14:paraId="701A624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253.79 </w:t>
            </w:r>
          </w:p>
        </w:tc>
        <w:tc>
          <w:tcPr>
            <w:tcW w:w="462" w:type="pct"/>
            <w:vAlign w:val="center"/>
          </w:tcPr>
          <w:p w14:paraId="04EA05E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18.42 </w:t>
            </w:r>
          </w:p>
        </w:tc>
        <w:tc>
          <w:tcPr>
            <w:tcW w:w="550" w:type="pct"/>
            <w:vAlign w:val="center"/>
          </w:tcPr>
          <w:p w14:paraId="7083EBF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25.48 </w:t>
            </w:r>
          </w:p>
        </w:tc>
        <w:tc>
          <w:tcPr>
            <w:tcW w:w="469" w:type="pct"/>
            <w:vAlign w:val="center"/>
          </w:tcPr>
          <w:p w14:paraId="412B53B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24.19 </w:t>
            </w:r>
          </w:p>
        </w:tc>
        <w:tc>
          <w:tcPr>
            <w:tcW w:w="447" w:type="pct"/>
            <w:vAlign w:val="center"/>
          </w:tcPr>
          <w:p w14:paraId="2D1F9E2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21.62 </w:t>
            </w:r>
          </w:p>
        </w:tc>
        <w:tc>
          <w:tcPr>
            <w:tcW w:w="605" w:type="pct"/>
            <w:vAlign w:val="center"/>
          </w:tcPr>
          <w:p w14:paraId="47C3216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85.19 </w:t>
            </w:r>
          </w:p>
        </w:tc>
      </w:tr>
      <w:tr w14:paraId="576C8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56ED8015">
            <w:pPr>
              <w:keepLines w:val="0"/>
              <w:pageBreakBefore w:val="0"/>
              <w:wordWrap/>
              <w:overflowPunct/>
              <w:topLinePunct w:val="0"/>
              <w:bidi w:val="0"/>
              <w:spacing w:line="360" w:lineRule="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（23）</w:t>
            </w:r>
          </w:p>
        </w:tc>
        <w:tc>
          <w:tcPr>
            <w:tcW w:w="424" w:type="pct"/>
            <w:vAlign w:val="center"/>
          </w:tcPr>
          <w:p w14:paraId="04BA6DA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207.32 </w:t>
            </w:r>
          </w:p>
        </w:tc>
        <w:tc>
          <w:tcPr>
            <w:tcW w:w="542" w:type="pct"/>
            <w:vAlign w:val="center"/>
          </w:tcPr>
          <w:p w14:paraId="4C6FA85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285.40 </w:t>
            </w:r>
          </w:p>
        </w:tc>
        <w:tc>
          <w:tcPr>
            <w:tcW w:w="572" w:type="pct"/>
            <w:vAlign w:val="center"/>
          </w:tcPr>
          <w:p w14:paraId="6A9392E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141.97 </w:t>
            </w:r>
          </w:p>
        </w:tc>
        <w:tc>
          <w:tcPr>
            <w:tcW w:w="478" w:type="pct"/>
            <w:vAlign w:val="center"/>
          </w:tcPr>
          <w:p w14:paraId="417A372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364.82 </w:t>
            </w:r>
          </w:p>
        </w:tc>
        <w:tc>
          <w:tcPr>
            <w:tcW w:w="462" w:type="pct"/>
            <w:vAlign w:val="center"/>
          </w:tcPr>
          <w:p w14:paraId="3CE1B28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18.45 </w:t>
            </w:r>
          </w:p>
        </w:tc>
        <w:tc>
          <w:tcPr>
            <w:tcW w:w="550" w:type="pct"/>
            <w:vAlign w:val="center"/>
          </w:tcPr>
          <w:p w14:paraId="5AA0038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25.40 </w:t>
            </w:r>
          </w:p>
        </w:tc>
        <w:tc>
          <w:tcPr>
            <w:tcW w:w="469" w:type="pct"/>
            <w:vAlign w:val="center"/>
          </w:tcPr>
          <w:p w14:paraId="314B40A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12.64 </w:t>
            </w:r>
          </w:p>
        </w:tc>
        <w:tc>
          <w:tcPr>
            <w:tcW w:w="447" w:type="pct"/>
            <w:vAlign w:val="center"/>
          </w:tcPr>
          <w:p w14:paraId="22E5E74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32.47 </w:t>
            </w:r>
          </w:p>
        </w:tc>
        <w:tc>
          <w:tcPr>
            <w:tcW w:w="605" w:type="pct"/>
            <w:vAlign w:val="center"/>
          </w:tcPr>
          <w:p w14:paraId="793BE3F7">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89.01 </w:t>
            </w:r>
          </w:p>
        </w:tc>
      </w:tr>
      <w:tr w14:paraId="6558A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1B9D2250">
            <w:pPr>
              <w:keepLines w:val="0"/>
              <w:pageBreakBefore w:val="0"/>
              <w:wordWrap/>
              <w:overflowPunct/>
              <w:topLinePunct w:val="0"/>
              <w:bidi w:val="0"/>
              <w:spacing w:line="360" w:lineRule="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（24）</w:t>
            </w:r>
          </w:p>
        </w:tc>
        <w:tc>
          <w:tcPr>
            <w:tcW w:w="424" w:type="pct"/>
            <w:vAlign w:val="center"/>
          </w:tcPr>
          <w:p w14:paraId="57D6B02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326.70 </w:t>
            </w:r>
          </w:p>
        </w:tc>
        <w:tc>
          <w:tcPr>
            <w:tcW w:w="542" w:type="pct"/>
            <w:vAlign w:val="center"/>
          </w:tcPr>
          <w:p w14:paraId="2C59D69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100.15 </w:t>
            </w:r>
          </w:p>
        </w:tc>
        <w:tc>
          <w:tcPr>
            <w:tcW w:w="572" w:type="pct"/>
            <w:vAlign w:val="center"/>
          </w:tcPr>
          <w:p w14:paraId="63C7324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266.20 </w:t>
            </w:r>
          </w:p>
        </w:tc>
        <w:tc>
          <w:tcPr>
            <w:tcW w:w="478" w:type="pct"/>
            <w:vAlign w:val="center"/>
          </w:tcPr>
          <w:p w14:paraId="652D491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364.82 </w:t>
            </w:r>
          </w:p>
        </w:tc>
        <w:tc>
          <w:tcPr>
            <w:tcW w:w="462" w:type="pct"/>
            <w:vAlign w:val="center"/>
          </w:tcPr>
          <w:p w14:paraId="04B97D3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26.33 </w:t>
            </w:r>
          </w:p>
        </w:tc>
        <w:tc>
          <w:tcPr>
            <w:tcW w:w="550" w:type="pct"/>
            <w:vAlign w:val="center"/>
          </w:tcPr>
          <w:p w14:paraId="7534E49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8.07 </w:t>
            </w:r>
          </w:p>
        </w:tc>
        <w:tc>
          <w:tcPr>
            <w:tcW w:w="469" w:type="pct"/>
            <w:vAlign w:val="center"/>
          </w:tcPr>
          <w:p w14:paraId="479CD7D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21.45 </w:t>
            </w:r>
          </w:p>
        </w:tc>
        <w:tc>
          <w:tcPr>
            <w:tcW w:w="447" w:type="pct"/>
            <w:vAlign w:val="center"/>
          </w:tcPr>
          <w:p w14:paraId="32ED405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29.40 </w:t>
            </w:r>
          </w:p>
        </w:tc>
        <w:tc>
          <w:tcPr>
            <w:tcW w:w="605" w:type="pct"/>
            <w:vAlign w:val="center"/>
          </w:tcPr>
          <w:p w14:paraId="0E9A3748">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80.60 </w:t>
            </w:r>
          </w:p>
        </w:tc>
      </w:tr>
      <w:tr w14:paraId="5882C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26251C45">
            <w:pPr>
              <w:keepLines w:val="0"/>
              <w:pageBreakBefore w:val="0"/>
              <w:wordWrap/>
              <w:overflowPunct/>
              <w:topLinePunct w:val="0"/>
              <w:bidi w:val="0"/>
              <w:spacing w:line="360" w:lineRule="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（25）</w:t>
            </w:r>
          </w:p>
        </w:tc>
        <w:tc>
          <w:tcPr>
            <w:tcW w:w="424" w:type="pct"/>
            <w:vAlign w:val="center"/>
          </w:tcPr>
          <w:p w14:paraId="0BC88DE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2.02 </w:t>
            </w:r>
          </w:p>
        </w:tc>
        <w:tc>
          <w:tcPr>
            <w:tcW w:w="542" w:type="pct"/>
            <w:vAlign w:val="center"/>
          </w:tcPr>
          <w:p w14:paraId="22B143D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291.90 </w:t>
            </w:r>
          </w:p>
        </w:tc>
        <w:tc>
          <w:tcPr>
            <w:tcW w:w="572" w:type="pct"/>
            <w:vAlign w:val="center"/>
          </w:tcPr>
          <w:p w14:paraId="4D0D8998">
            <w:pPr>
              <w:keepLines w:val="0"/>
              <w:pageBreakBefore w:val="0"/>
              <w:wordWrap/>
              <w:overflowPunct/>
              <w:topLinePunct w:val="0"/>
              <w:bidi w:val="0"/>
              <w:spacing w:line="360" w:lineRule="auto"/>
              <w:rPr>
                <w:rFonts w:hint="default" w:ascii="Times New Roman" w:hAnsi="Times New Roman" w:eastAsia="宋体" w:cs="Times New Roman"/>
                <w:sz w:val="18"/>
                <w:szCs w:val="18"/>
                <w:lang w:val="en-US" w:eastAsia="zh-CN"/>
              </w:rPr>
            </w:pPr>
          </w:p>
        </w:tc>
        <w:tc>
          <w:tcPr>
            <w:tcW w:w="478" w:type="pct"/>
            <w:vAlign w:val="center"/>
          </w:tcPr>
          <w:p w14:paraId="18FF0E65">
            <w:pPr>
              <w:keepLines w:val="0"/>
              <w:pageBreakBefore w:val="0"/>
              <w:wordWrap/>
              <w:overflowPunct/>
              <w:topLinePunct w:val="0"/>
              <w:bidi w:val="0"/>
              <w:spacing w:line="360" w:lineRule="auto"/>
              <w:rPr>
                <w:rFonts w:hint="default" w:ascii="Times New Roman" w:hAnsi="Times New Roman" w:eastAsia="宋体" w:cs="Times New Roman"/>
                <w:sz w:val="18"/>
                <w:szCs w:val="18"/>
              </w:rPr>
            </w:pPr>
          </w:p>
        </w:tc>
        <w:tc>
          <w:tcPr>
            <w:tcW w:w="462" w:type="pct"/>
            <w:vAlign w:val="center"/>
          </w:tcPr>
          <w:p w14:paraId="1F3291E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0.45 </w:t>
            </w:r>
          </w:p>
        </w:tc>
        <w:tc>
          <w:tcPr>
            <w:tcW w:w="550" w:type="pct"/>
            <w:vAlign w:val="center"/>
          </w:tcPr>
          <w:p w14:paraId="42FCD5E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65.01 </w:t>
            </w:r>
          </w:p>
        </w:tc>
        <w:tc>
          <w:tcPr>
            <w:tcW w:w="469" w:type="pct"/>
            <w:vAlign w:val="center"/>
          </w:tcPr>
          <w:p w14:paraId="6DECD00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0.00 </w:t>
            </w:r>
          </w:p>
        </w:tc>
        <w:tc>
          <w:tcPr>
            <w:tcW w:w="447" w:type="pct"/>
            <w:vAlign w:val="center"/>
          </w:tcPr>
          <w:p w14:paraId="27175B2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0.00 </w:t>
            </w:r>
          </w:p>
        </w:tc>
        <w:tc>
          <w:tcPr>
            <w:tcW w:w="605" w:type="pct"/>
            <w:vAlign w:val="center"/>
          </w:tcPr>
          <w:p w14:paraId="5BBACFF5">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222.71 </w:t>
            </w:r>
          </w:p>
        </w:tc>
      </w:tr>
      <w:tr w14:paraId="3CD4E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28B80126">
            <w:pPr>
              <w:keepLines w:val="0"/>
              <w:pageBreakBefore w:val="0"/>
              <w:wordWrap/>
              <w:overflowPunct/>
              <w:topLinePunct w:val="0"/>
              <w:bidi w:val="0"/>
              <w:spacing w:line="360" w:lineRule="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（26）</w:t>
            </w:r>
          </w:p>
        </w:tc>
        <w:tc>
          <w:tcPr>
            <w:tcW w:w="424" w:type="pct"/>
            <w:vAlign w:val="center"/>
          </w:tcPr>
          <w:p w14:paraId="18D75AF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341.58 </w:t>
            </w:r>
          </w:p>
        </w:tc>
        <w:tc>
          <w:tcPr>
            <w:tcW w:w="542" w:type="pct"/>
            <w:vAlign w:val="center"/>
          </w:tcPr>
          <w:p w14:paraId="168E6DF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148.68 </w:t>
            </w:r>
          </w:p>
        </w:tc>
        <w:tc>
          <w:tcPr>
            <w:tcW w:w="572" w:type="pct"/>
            <w:vAlign w:val="center"/>
          </w:tcPr>
          <w:p w14:paraId="41AD5FE3">
            <w:pPr>
              <w:keepLines w:val="0"/>
              <w:pageBreakBefore w:val="0"/>
              <w:wordWrap/>
              <w:overflowPunct/>
              <w:topLinePunct w:val="0"/>
              <w:bidi w:val="0"/>
              <w:spacing w:line="360" w:lineRule="auto"/>
              <w:rPr>
                <w:rFonts w:hint="default" w:ascii="Times New Roman" w:hAnsi="Times New Roman" w:eastAsia="宋体" w:cs="Times New Roman"/>
                <w:sz w:val="18"/>
                <w:szCs w:val="18"/>
                <w:lang w:val="en-US" w:eastAsia="zh-CN"/>
              </w:rPr>
            </w:pPr>
          </w:p>
        </w:tc>
        <w:tc>
          <w:tcPr>
            <w:tcW w:w="478" w:type="pct"/>
            <w:vAlign w:val="center"/>
          </w:tcPr>
          <w:p w14:paraId="5E8C8B41">
            <w:pPr>
              <w:keepLines w:val="0"/>
              <w:pageBreakBefore w:val="0"/>
              <w:wordWrap/>
              <w:overflowPunct/>
              <w:topLinePunct w:val="0"/>
              <w:bidi w:val="0"/>
              <w:spacing w:line="360" w:lineRule="auto"/>
              <w:rPr>
                <w:rFonts w:hint="default" w:ascii="Times New Roman" w:hAnsi="Times New Roman" w:eastAsia="宋体" w:cs="Times New Roman"/>
                <w:sz w:val="18"/>
                <w:szCs w:val="18"/>
              </w:rPr>
            </w:pPr>
          </w:p>
        </w:tc>
        <w:tc>
          <w:tcPr>
            <w:tcW w:w="462" w:type="pct"/>
            <w:vAlign w:val="center"/>
          </w:tcPr>
          <w:p w14:paraId="53D840B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25.04 </w:t>
            </w:r>
          </w:p>
        </w:tc>
        <w:tc>
          <w:tcPr>
            <w:tcW w:w="550" w:type="pct"/>
            <w:vAlign w:val="center"/>
          </w:tcPr>
          <w:p w14:paraId="3EFE809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10.90 </w:t>
            </w:r>
          </w:p>
        </w:tc>
        <w:tc>
          <w:tcPr>
            <w:tcW w:w="469" w:type="pct"/>
            <w:vAlign w:val="center"/>
          </w:tcPr>
          <w:p w14:paraId="363FC5F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0.00 </w:t>
            </w:r>
          </w:p>
        </w:tc>
        <w:tc>
          <w:tcPr>
            <w:tcW w:w="447" w:type="pct"/>
            <w:vAlign w:val="center"/>
          </w:tcPr>
          <w:p w14:paraId="710A674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0.00 </w:t>
            </w:r>
          </w:p>
        </w:tc>
        <w:tc>
          <w:tcPr>
            <w:tcW w:w="605" w:type="pct"/>
            <w:vAlign w:val="center"/>
          </w:tcPr>
          <w:p w14:paraId="066F4767">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73.32 </w:t>
            </w:r>
          </w:p>
        </w:tc>
      </w:tr>
      <w:tr w14:paraId="36F2C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0C6895FF">
            <w:pPr>
              <w:keepLines w:val="0"/>
              <w:pageBreakBefore w:val="0"/>
              <w:wordWrap/>
              <w:overflowPunct/>
              <w:topLinePunct w:val="0"/>
              <w:bidi w:val="0"/>
              <w:spacing w:line="360" w:lineRule="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（27）</w:t>
            </w:r>
          </w:p>
        </w:tc>
        <w:tc>
          <w:tcPr>
            <w:tcW w:w="424" w:type="pct"/>
            <w:vAlign w:val="center"/>
          </w:tcPr>
          <w:p w14:paraId="3208941D">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sz w:val="18"/>
                <w:szCs w:val="18"/>
                <w:lang w:val="en-US" w:eastAsia="zh-CN"/>
              </w:rPr>
            </w:pPr>
          </w:p>
        </w:tc>
        <w:tc>
          <w:tcPr>
            <w:tcW w:w="542" w:type="pct"/>
            <w:vAlign w:val="center"/>
          </w:tcPr>
          <w:p w14:paraId="0C1703D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238.37</w:t>
            </w:r>
          </w:p>
          <w:p w14:paraId="00A68E5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Times New Roman" w:hAnsi="Times New Roman" w:eastAsia="宋体" w:cs="Times New Roman"/>
                <w:i w:val="0"/>
                <w:iCs w:val="0"/>
                <w:color w:val="000000"/>
                <w:kern w:val="0"/>
                <w:sz w:val="15"/>
                <w:szCs w:val="15"/>
                <w:u w:val="none"/>
                <w:lang w:val="en-US" w:eastAsia="zh-CN" w:bidi="ar"/>
              </w:rPr>
              <w:t>（</w:t>
            </w:r>
            <w:r>
              <w:rPr>
                <w:rFonts w:hint="default" w:ascii="Times New Roman" w:hAnsi="Times New Roman" w:eastAsia="宋体" w:cs="Times New Roman"/>
                <w:i w:val="0"/>
                <w:iCs w:val="0"/>
                <w:color w:val="000000"/>
                <w:kern w:val="0"/>
                <w:sz w:val="15"/>
                <w:szCs w:val="15"/>
                <w:u w:val="none"/>
                <w:lang w:val="en-US" w:eastAsia="zh-CN" w:bidi="ar"/>
              </w:rPr>
              <w:t>硝酸钾</w:t>
            </w:r>
            <w:r>
              <w:rPr>
                <w:rFonts w:hint="eastAsia" w:ascii="Times New Roman" w:hAnsi="Times New Roman" w:eastAsia="宋体" w:cs="Times New Roman"/>
                <w:i w:val="0"/>
                <w:iCs w:val="0"/>
                <w:color w:val="000000"/>
                <w:kern w:val="0"/>
                <w:sz w:val="15"/>
                <w:szCs w:val="15"/>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 xml:space="preserve"> </w:t>
            </w:r>
          </w:p>
        </w:tc>
        <w:tc>
          <w:tcPr>
            <w:tcW w:w="572" w:type="pct"/>
            <w:vAlign w:val="center"/>
          </w:tcPr>
          <w:p w14:paraId="377093D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106.48 </w:t>
            </w:r>
          </w:p>
        </w:tc>
        <w:tc>
          <w:tcPr>
            <w:tcW w:w="478" w:type="pct"/>
            <w:vAlign w:val="center"/>
          </w:tcPr>
          <w:p w14:paraId="0E7E53DD">
            <w:pPr>
              <w:keepLines w:val="0"/>
              <w:pageBreakBefore w:val="0"/>
              <w:wordWrap/>
              <w:overflowPunct/>
              <w:topLinePunct w:val="0"/>
              <w:bidi w:val="0"/>
              <w:spacing w:line="360" w:lineRule="auto"/>
              <w:rPr>
                <w:rFonts w:hint="default" w:ascii="Times New Roman" w:hAnsi="Times New Roman" w:eastAsia="宋体" w:cs="Times New Roman"/>
                <w:sz w:val="18"/>
                <w:szCs w:val="18"/>
              </w:rPr>
            </w:pPr>
          </w:p>
        </w:tc>
        <w:tc>
          <w:tcPr>
            <w:tcW w:w="462" w:type="pct"/>
            <w:vAlign w:val="center"/>
          </w:tcPr>
          <w:p w14:paraId="634AC961">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sz w:val="18"/>
                <w:szCs w:val="18"/>
                <w:lang w:val="en-US" w:eastAsia="zh-CN"/>
              </w:rPr>
            </w:pPr>
          </w:p>
        </w:tc>
        <w:tc>
          <w:tcPr>
            <w:tcW w:w="550" w:type="pct"/>
            <w:vAlign w:val="center"/>
          </w:tcPr>
          <w:p w14:paraId="5185D953">
            <w:pPr>
              <w:keepNext w:val="0"/>
              <w:keepLines w:val="0"/>
              <w:pageBreakBefore w:val="0"/>
              <w:widowControl/>
              <w:suppressLineNumbers w:val="0"/>
              <w:wordWrap/>
              <w:overflowPunct/>
              <w:topLinePunct w:val="0"/>
              <w:bidi w:val="0"/>
              <w:spacing w:line="360" w:lineRule="auto"/>
              <w:jc w:val="righ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81.28</w:t>
            </w:r>
          </w:p>
          <w:p w14:paraId="06D9209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Times New Roman" w:hAnsi="Times New Roman" w:eastAsia="宋体" w:cs="Times New Roman"/>
                <w:i w:val="0"/>
                <w:iCs w:val="0"/>
                <w:color w:val="000000"/>
                <w:kern w:val="0"/>
                <w:sz w:val="15"/>
                <w:szCs w:val="15"/>
                <w:u w:val="none"/>
                <w:lang w:val="en-US" w:eastAsia="zh-CN" w:bidi="ar"/>
              </w:rPr>
              <w:t>（</w:t>
            </w:r>
            <w:r>
              <w:rPr>
                <w:rFonts w:hint="default" w:ascii="Times New Roman" w:hAnsi="Times New Roman" w:eastAsia="宋体" w:cs="Times New Roman"/>
                <w:i w:val="0"/>
                <w:iCs w:val="0"/>
                <w:color w:val="000000"/>
                <w:kern w:val="0"/>
                <w:sz w:val="15"/>
                <w:szCs w:val="15"/>
                <w:u w:val="none"/>
                <w:lang w:val="en-US" w:eastAsia="zh-CN" w:bidi="ar"/>
              </w:rPr>
              <w:t>硝酸钾</w:t>
            </w:r>
            <w:r>
              <w:rPr>
                <w:rFonts w:hint="eastAsia" w:ascii="Times New Roman" w:hAnsi="Times New Roman" w:eastAsia="宋体" w:cs="Times New Roman"/>
                <w:i w:val="0"/>
                <w:iCs w:val="0"/>
                <w:color w:val="000000"/>
                <w:kern w:val="0"/>
                <w:sz w:val="15"/>
                <w:szCs w:val="15"/>
                <w:u w:val="none"/>
                <w:lang w:val="en-US" w:eastAsia="zh-CN" w:bidi="ar"/>
              </w:rPr>
              <w:t>）</w:t>
            </w:r>
            <w:r>
              <w:rPr>
                <w:rFonts w:hint="eastAsia" w:ascii="宋体" w:hAnsi="宋体" w:eastAsia="宋体" w:cs="宋体"/>
                <w:i w:val="0"/>
                <w:iCs w:val="0"/>
                <w:color w:val="000000"/>
                <w:kern w:val="0"/>
                <w:sz w:val="18"/>
                <w:szCs w:val="18"/>
                <w:u w:val="none"/>
                <w:lang w:val="en-US" w:eastAsia="zh-CN" w:bidi="ar"/>
              </w:rPr>
              <w:t xml:space="preserve"> </w:t>
            </w:r>
          </w:p>
        </w:tc>
        <w:tc>
          <w:tcPr>
            <w:tcW w:w="469" w:type="pct"/>
            <w:vAlign w:val="center"/>
          </w:tcPr>
          <w:p w14:paraId="6030F52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9.23 </w:t>
            </w:r>
          </w:p>
        </w:tc>
        <w:tc>
          <w:tcPr>
            <w:tcW w:w="447" w:type="pct"/>
            <w:vAlign w:val="center"/>
          </w:tcPr>
          <w:p w14:paraId="1097F3CA">
            <w:pPr>
              <w:keepLines w:val="0"/>
              <w:pageBreakBefore w:val="0"/>
              <w:wordWrap/>
              <w:overflowPunct/>
              <w:topLinePunct w:val="0"/>
              <w:bidi w:val="0"/>
              <w:spacing w:line="360" w:lineRule="auto"/>
              <w:rPr>
                <w:rFonts w:hint="default" w:ascii="Times New Roman" w:hAnsi="Times New Roman" w:eastAsia="宋体" w:cs="Times New Roman"/>
                <w:sz w:val="18"/>
                <w:szCs w:val="18"/>
              </w:rPr>
            </w:pPr>
          </w:p>
        </w:tc>
        <w:tc>
          <w:tcPr>
            <w:tcW w:w="605" w:type="pct"/>
            <w:vAlign w:val="center"/>
          </w:tcPr>
          <w:p w14:paraId="4233E95D">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86.67 </w:t>
            </w:r>
          </w:p>
        </w:tc>
      </w:tr>
      <w:tr w14:paraId="469AA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1F2E0E84">
            <w:pPr>
              <w:keepLines w:val="0"/>
              <w:pageBreakBefore w:val="0"/>
              <w:wordWrap/>
              <w:overflowPunct/>
              <w:topLinePunct w:val="0"/>
              <w:bidi w:val="0"/>
              <w:spacing w:line="360" w:lineRule="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（28）</w:t>
            </w:r>
          </w:p>
        </w:tc>
        <w:tc>
          <w:tcPr>
            <w:tcW w:w="424" w:type="pct"/>
            <w:vAlign w:val="center"/>
          </w:tcPr>
          <w:p w14:paraId="2CD510B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299.27 </w:t>
            </w:r>
          </w:p>
        </w:tc>
        <w:tc>
          <w:tcPr>
            <w:tcW w:w="542" w:type="pct"/>
            <w:vAlign w:val="center"/>
          </w:tcPr>
          <w:p w14:paraId="6E45161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513.27 </w:t>
            </w:r>
          </w:p>
        </w:tc>
        <w:tc>
          <w:tcPr>
            <w:tcW w:w="572" w:type="pct"/>
            <w:vAlign w:val="center"/>
          </w:tcPr>
          <w:p w14:paraId="051874B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141.97 </w:t>
            </w:r>
          </w:p>
        </w:tc>
        <w:tc>
          <w:tcPr>
            <w:tcW w:w="478" w:type="pct"/>
            <w:vAlign w:val="center"/>
          </w:tcPr>
          <w:p w14:paraId="218EB0B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158.62 </w:t>
            </w:r>
          </w:p>
        </w:tc>
        <w:tc>
          <w:tcPr>
            <w:tcW w:w="462" w:type="pct"/>
            <w:vAlign w:val="center"/>
          </w:tcPr>
          <w:p w14:paraId="5CEEA21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16.86 </w:t>
            </w:r>
          </w:p>
        </w:tc>
        <w:tc>
          <w:tcPr>
            <w:tcW w:w="550" w:type="pct"/>
            <w:vAlign w:val="center"/>
          </w:tcPr>
          <w:p w14:paraId="013AD51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28.91 </w:t>
            </w:r>
          </w:p>
        </w:tc>
        <w:tc>
          <w:tcPr>
            <w:tcW w:w="469" w:type="pct"/>
            <w:vAlign w:val="center"/>
          </w:tcPr>
          <w:p w14:paraId="6D17A51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8.00 </w:t>
            </w:r>
          </w:p>
        </w:tc>
        <w:tc>
          <w:tcPr>
            <w:tcW w:w="447" w:type="pct"/>
            <w:vAlign w:val="center"/>
          </w:tcPr>
          <w:p w14:paraId="3856D26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8.93 </w:t>
            </w:r>
          </w:p>
        </w:tc>
        <w:tc>
          <w:tcPr>
            <w:tcW w:w="605" w:type="pct"/>
            <w:vAlign w:val="center"/>
          </w:tcPr>
          <w:p w14:paraId="0A012E13">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56.33 </w:t>
            </w:r>
          </w:p>
        </w:tc>
      </w:tr>
      <w:tr w14:paraId="4DAB0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470F6DA5">
            <w:pPr>
              <w:keepLines w:val="0"/>
              <w:pageBreakBefore w:val="0"/>
              <w:wordWrap/>
              <w:overflowPunct/>
              <w:topLinePunct w:val="0"/>
              <w:bidi w:val="0"/>
              <w:spacing w:line="360" w:lineRule="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（29）</w:t>
            </w:r>
          </w:p>
        </w:tc>
        <w:tc>
          <w:tcPr>
            <w:tcW w:w="424" w:type="pct"/>
            <w:vAlign w:val="center"/>
          </w:tcPr>
          <w:p w14:paraId="7BF73BC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262.20 </w:t>
            </w:r>
          </w:p>
        </w:tc>
        <w:tc>
          <w:tcPr>
            <w:tcW w:w="542" w:type="pct"/>
            <w:vAlign w:val="center"/>
          </w:tcPr>
          <w:p w14:paraId="489B13D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519.67 </w:t>
            </w:r>
          </w:p>
        </w:tc>
        <w:tc>
          <w:tcPr>
            <w:tcW w:w="572" w:type="pct"/>
            <w:vAlign w:val="center"/>
          </w:tcPr>
          <w:p w14:paraId="682D1EB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141.97 </w:t>
            </w:r>
          </w:p>
        </w:tc>
        <w:tc>
          <w:tcPr>
            <w:tcW w:w="478" w:type="pct"/>
            <w:vAlign w:val="center"/>
          </w:tcPr>
          <w:p w14:paraId="0E3871E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158.62 </w:t>
            </w:r>
          </w:p>
        </w:tc>
        <w:tc>
          <w:tcPr>
            <w:tcW w:w="462" w:type="pct"/>
            <w:vAlign w:val="center"/>
          </w:tcPr>
          <w:p w14:paraId="295AD66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15.78 </w:t>
            </w:r>
          </w:p>
        </w:tc>
        <w:tc>
          <w:tcPr>
            <w:tcW w:w="550" w:type="pct"/>
            <w:vAlign w:val="center"/>
          </w:tcPr>
          <w:p w14:paraId="2691430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31.28 </w:t>
            </w:r>
          </w:p>
        </w:tc>
        <w:tc>
          <w:tcPr>
            <w:tcW w:w="469" w:type="pct"/>
            <w:vAlign w:val="center"/>
          </w:tcPr>
          <w:p w14:paraId="705FF5A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8.55 </w:t>
            </w:r>
          </w:p>
        </w:tc>
        <w:tc>
          <w:tcPr>
            <w:tcW w:w="447" w:type="pct"/>
            <w:vAlign w:val="center"/>
          </w:tcPr>
          <w:p w14:paraId="4D07665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9.55 </w:t>
            </w:r>
          </w:p>
        </w:tc>
        <w:tc>
          <w:tcPr>
            <w:tcW w:w="605" w:type="pct"/>
            <w:vAlign w:val="center"/>
          </w:tcPr>
          <w:p w14:paraId="07A5414D">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60.19 </w:t>
            </w:r>
          </w:p>
        </w:tc>
      </w:tr>
      <w:tr w14:paraId="1CC69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7904276B">
            <w:pPr>
              <w:keepLines w:val="0"/>
              <w:pageBreakBefore w:val="0"/>
              <w:wordWrap/>
              <w:overflowPunct/>
              <w:topLinePunct w:val="0"/>
              <w:bidi w:val="0"/>
              <w:spacing w:line="360" w:lineRule="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（30）</w:t>
            </w:r>
          </w:p>
        </w:tc>
        <w:tc>
          <w:tcPr>
            <w:tcW w:w="424" w:type="pct"/>
            <w:vAlign w:val="center"/>
          </w:tcPr>
          <w:p w14:paraId="5D34272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183.18 </w:t>
            </w:r>
          </w:p>
        </w:tc>
        <w:tc>
          <w:tcPr>
            <w:tcW w:w="542" w:type="pct"/>
            <w:vAlign w:val="center"/>
          </w:tcPr>
          <w:p w14:paraId="1BE2941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641.89 </w:t>
            </w:r>
          </w:p>
        </w:tc>
        <w:tc>
          <w:tcPr>
            <w:tcW w:w="572" w:type="pct"/>
            <w:vAlign w:val="center"/>
          </w:tcPr>
          <w:p w14:paraId="0216DB8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88.73 </w:t>
            </w:r>
          </w:p>
        </w:tc>
        <w:tc>
          <w:tcPr>
            <w:tcW w:w="478" w:type="pct"/>
            <w:vAlign w:val="center"/>
          </w:tcPr>
          <w:p w14:paraId="2E583AE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111.03 </w:t>
            </w:r>
          </w:p>
        </w:tc>
        <w:tc>
          <w:tcPr>
            <w:tcW w:w="462" w:type="pct"/>
            <w:vAlign w:val="center"/>
          </w:tcPr>
          <w:p w14:paraId="65E87B1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11.57 </w:t>
            </w:r>
          </w:p>
        </w:tc>
        <w:tc>
          <w:tcPr>
            <w:tcW w:w="550" w:type="pct"/>
            <w:vAlign w:val="center"/>
          </w:tcPr>
          <w:p w14:paraId="257E62C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40.55 </w:t>
            </w:r>
          </w:p>
        </w:tc>
        <w:tc>
          <w:tcPr>
            <w:tcW w:w="469" w:type="pct"/>
            <w:vAlign w:val="center"/>
          </w:tcPr>
          <w:p w14:paraId="09EA436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5.60 </w:t>
            </w:r>
          </w:p>
        </w:tc>
        <w:tc>
          <w:tcPr>
            <w:tcW w:w="447" w:type="pct"/>
            <w:vAlign w:val="center"/>
          </w:tcPr>
          <w:p w14:paraId="158862B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7.01 </w:t>
            </w:r>
          </w:p>
        </w:tc>
        <w:tc>
          <w:tcPr>
            <w:tcW w:w="605" w:type="pct"/>
            <w:vAlign w:val="center"/>
          </w:tcPr>
          <w:p w14:paraId="41779CF3">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63.16 </w:t>
            </w:r>
          </w:p>
        </w:tc>
      </w:tr>
      <w:tr w14:paraId="1AC74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6D97678E">
            <w:pPr>
              <w:keepLines w:val="0"/>
              <w:pageBreakBefore w:val="0"/>
              <w:wordWrap/>
              <w:overflowPunct/>
              <w:topLinePunct w:val="0"/>
              <w:bidi w:val="0"/>
              <w:spacing w:line="360" w:lineRule="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（31）</w:t>
            </w:r>
          </w:p>
        </w:tc>
        <w:tc>
          <w:tcPr>
            <w:tcW w:w="424" w:type="pct"/>
            <w:vAlign w:val="center"/>
          </w:tcPr>
          <w:p w14:paraId="200173B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175.77 </w:t>
            </w:r>
          </w:p>
        </w:tc>
        <w:tc>
          <w:tcPr>
            <w:tcW w:w="542" w:type="pct"/>
            <w:vAlign w:val="center"/>
          </w:tcPr>
          <w:p w14:paraId="1F62045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621.39 </w:t>
            </w:r>
          </w:p>
        </w:tc>
        <w:tc>
          <w:tcPr>
            <w:tcW w:w="572" w:type="pct"/>
            <w:vAlign w:val="center"/>
          </w:tcPr>
          <w:p w14:paraId="236FAE4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88.73 </w:t>
            </w:r>
          </w:p>
        </w:tc>
        <w:tc>
          <w:tcPr>
            <w:tcW w:w="478" w:type="pct"/>
            <w:vAlign w:val="center"/>
          </w:tcPr>
          <w:p w14:paraId="1C73A3B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111.03 </w:t>
            </w:r>
          </w:p>
        </w:tc>
        <w:tc>
          <w:tcPr>
            <w:tcW w:w="462" w:type="pct"/>
            <w:vAlign w:val="center"/>
          </w:tcPr>
          <w:p w14:paraId="4F1B39A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11.51 </w:t>
            </w:r>
          </w:p>
        </w:tc>
        <w:tc>
          <w:tcPr>
            <w:tcW w:w="550" w:type="pct"/>
            <w:vAlign w:val="center"/>
          </w:tcPr>
          <w:p w14:paraId="7F5E5B8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40.68 </w:t>
            </w:r>
          </w:p>
        </w:tc>
        <w:tc>
          <w:tcPr>
            <w:tcW w:w="469" w:type="pct"/>
            <w:vAlign w:val="center"/>
          </w:tcPr>
          <w:p w14:paraId="026469F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5.81 </w:t>
            </w:r>
          </w:p>
        </w:tc>
        <w:tc>
          <w:tcPr>
            <w:tcW w:w="447" w:type="pct"/>
            <w:vAlign w:val="center"/>
          </w:tcPr>
          <w:p w14:paraId="654165C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7.27 </w:t>
            </w:r>
          </w:p>
        </w:tc>
        <w:tc>
          <w:tcPr>
            <w:tcW w:w="605" w:type="pct"/>
            <w:vAlign w:val="center"/>
          </w:tcPr>
          <w:p w14:paraId="1A6E0854">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65.47 </w:t>
            </w:r>
          </w:p>
        </w:tc>
      </w:tr>
      <w:tr w14:paraId="6F906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011F4C84">
            <w:pPr>
              <w:keepLines w:val="0"/>
              <w:pageBreakBefore w:val="0"/>
              <w:wordWrap/>
              <w:overflowPunct/>
              <w:topLinePunct w:val="0"/>
              <w:bidi w:val="0"/>
              <w:spacing w:line="360" w:lineRule="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（32）</w:t>
            </w:r>
          </w:p>
        </w:tc>
        <w:tc>
          <w:tcPr>
            <w:tcW w:w="424" w:type="pct"/>
            <w:vAlign w:val="center"/>
          </w:tcPr>
          <w:p w14:paraId="13EEBCD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471.00 </w:t>
            </w:r>
          </w:p>
        </w:tc>
        <w:tc>
          <w:tcPr>
            <w:tcW w:w="542" w:type="pct"/>
            <w:vAlign w:val="center"/>
          </w:tcPr>
          <w:p w14:paraId="7308974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197.15 </w:t>
            </w:r>
          </w:p>
        </w:tc>
        <w:tc>
          <w:tcPr>
            <w:tcW w:w="572" w:type="pct"/>
            <w:vAlign w:val="center"/>
          </w:tcPr>
          <w:p w14:paraId="4EF4400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177.46 </w:t>
            </w:r>
          </w:p>
        </w:tc>
        <w:tc>
          <w:tcPr>
            <w:tcW w:w="478" w:type="pct"/>
            <w:vAlign w:val="center"/>
          </w:tcPr>
          <w:p w14:paraId="0B27217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190.34 </w:t>
            </w:r>
          </w:p>
        </w:tc>
        <w:tc>
          <w:tcPr>
            <w:tcW w:w="462" w:type="pct"/>
            <w:vAlign w:val="center"/>
          </w:tcPr>
          <w:p w14:paraId="7AF0EA2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25.20 </w:t>
            </w:r>
          </w:p>
        </w:tc>
        <w:tc>
          <w:tcPr>
            <w:tcW w:w="550" w:type="pct"/>
            <w:vAlign w:val="center"/>
          </w:tcPr>
          <w:p w14:paraId="2F1E1D6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10.55 </w:t>
            </w:r>
          </w:p>
        </w:tc>
        <w:tc>
          <w:tcPr>
            <w:tcW w:w="469" w:type="pct"/>
            <w:vAlign w:val="center"/>
          </w:tcPr>
          <w:p w14:paraId="238DA73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9.50 </w:t>
            </w:r>
          </w:p>
        </w:tc>
        <w:tc>
          <w:tcPr>
            <w:tcW w:w="447" w:type="pct"/>
            <w:vAlign w:val="center"/>
          </w:tcPr>
          <w:p w14:paraId="1429751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10.19 </w:t>
            </w:r>
          </w:p>
        </w:tc>
        <w:tc>
          <w:tcPr>
            <w:tcW w:w="605" w:type="pct"/>
            <w:vAlign w:val="center"/>
          </w:tcPr>
          <w:p w14:paraId="04E3D3BB">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53.51 </w:t>
            </w:r>
          </w:p>
        </w:tc>
      </w:tr>
      <w:tr w14:paraId="7DBA0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7BBD3784">
            <w:pPr>
              <w:keepLines w:val="0"/>
              <w:pageBreakBefore w:val="0"/>
              <w:wordWrap/>
              <w:overflowPunct/>
              <w:topLinePunct w:val="0"/>
              <w:bidi w:val="0"/>
              <w:spacing w:line="360" w:lineRule="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（33）</w:t>
            </w:r>
          </w:p>
        </w:tc>
        <w:tc>
          <w:tcPr>
            <w:tcW w:w="424" w:type="pct"/>
            <w:vAlign w:val="center"/>
          </w:tcPr>
          <w:p w14:paraId="0EBD97E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451.30 </w:t>
            </w:r>
          </w:p>
        </w:tc>
        <w:tc>
          <w:tcPr>
            <w:tcW w:w="542" w:type="pct"/>
            <w:vAlign w:val="center"/>
          </w:tcPr>
          <w:p w14:paraId="6E7B9AF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176.50 </w:t>
            </w:r>
          </w:p>
        </w:tc>
        <w:tc>
          <w:tcPr>
            <w:tcW w:w="572" w:type="pct"/>
            <w:vAlign w:val="center"/>
          </w:tcPr>
          <w:p w14:paraId="03E9DE6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177.46 </w:t>
            </w:r>
          </w:p>
        </w:tc>
        <w:tc>
          <w:tcPr>
            <w:tcW w:w="478" w:type="pct"/>
            <w:vAlign w:val="center"/>
          </w:tcPr>
          <w:p w14:paraId="4278CD7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190.34 </w:t>
            </w:r>
          </w:p>
        </w:tc>
        <w:tc>
          <w:tcPr>
            <w:tcW w:w="462" w:type="pct"/>
            <w:vAlign w:val="center"/>
          </w:tcPr>
          <w:p w14:paraId="1F925E5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25.47 </w:t>
            </w:r>
          </w:p>
        </w:tc>
        <w:tc>
          <w:tcPr>
            <w:tcW w:w="550" w:type="pct"/>
            <w:vAlign w:val="center"/>
          </w:tcPr>
          <w:p w14:paraId="244F3EE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9.96 </w:t>
            </w:r>
          </w:p>
        </w:tc>
        <w:tc>
          <w:tcPr>
            <w:tcW w:w="469" w:type="pct"/>
            <w:vAlign w:val="center"/>
          </w:tcPr>
          <w:p w14:paraId="5DF8129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10.02 </w:t>
            </w:r>
          </w:p>
        </w:tc>
        <w:tc>
          <w:tcPr>
            <w:tcW w:w="447" w:type="pct"/>
            <w:vAlign w:val="center"/>
          </w:tcPr>
          <w:p w14:paraId="2CCA58E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10.74 </w:t>
            </w:r>
          </w:p>
        </w:tc>
        <w:tc>
          <w:tcPr>
            <w:tcW w:w="605" w:type="pct"/>
            <w:vAlign w:val="center"/>
          </w:tcPr>
          <w:p w14:paraId="2DFF66B7">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56.44 </w:t>
            </w:r>
          </w:p>
        </w:tc>
      </w:tr>
      <w:tr w14:paraId="53550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5BF8C89E">
            <w:pPr>
              <w:keepLines w:val="0"/>
              <w:pageBreakBefore w:val="0"/>
              <w:wordWrap/>
              <w:overflowPunct/>
              <w:topLinePunct w:val="0"/>
              <w:bidi w:val="0"/>
              <w:spacing w:line="360" w:lineRule="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（34）</w:t>
            </w:r>
          </w:p>
        </w:tc>
        <w:tc>
          <w:tcPr>
            <w:tcW w:w="424" w:type="pct"/>
            <w:vAlign w:val="center"/>
          </w:tcPr>
          <w:p w14:paraId="07F3B96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458.37 </w:t>
            </w:r>
          </w:p>
        </w:tc>
        <w:tc>
          <w:tcPr>
            <w:tcW w:w="542" w:type="pct"/>
            <w:vAlign w:val="center"/>
          </w:tcPr>
          <w:p w14:paraId="41D107D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198.40 </w:t>
            </w:r>
          </w:p>
        </w:tc>
        <w:tc>
          <w:tcPr>
            <w:tcW w:w="572" w:type="pct"/>
            <w:vAlign w:val="center"/>
          </w:tcPr>
          <w:p w14:paraId="58615A2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177.46 </w:t>
            </w:r>
          </w:p>
        </w:tc>
        <w:tc>
          <w:tcPr>
            <w:tcW w:w="478" w:type="pct"/>
            <w:vAlign w:val="center"/>
          </w:tcPr>
          <w:p w14:paraId="0016E95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190.34 </w:t>
            </w:r>
          </w:p>
        </w:tc>
        <w:tc>
          <w:tcPr>
            <w:tcW w:w="462" w:type="pct"/>
            <w:vAlign w:val="center"/>
          </w:tcPr>
          <w:p w14:paraId="650002E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25.07 </w:t>
            </w:r>
          </w:p>
        </w:tc>
        <w:tc>
          <w:tcPr>
            <w:tcW w:w="550" w:type="pct"/>
            <w:vAlign w:val="center"/>
          </w:tcPr>
          <w:p w14:paraId="05CEB6C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10.85 </w:t>
            </w:r>
          </w:p>
        </w:tc>
        <w:tc>
          <w:tcPr>
            <w:tcW w:w="469" w:type="pct"/>
            <w:vAlign w:val="center"/>
          </w:tcPr>
          <w:p w14:paraId="290903A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9.71 </w:t>
            </w:r>
          </w:p>
        </w:tc>
        <w:tc>
          <w:tcPr>
            <w:tcW w:w="447" w:type="pct"/>
            <w:vAlign w:val="center"/>
          </w:tcPr>
          <w:p w14:paraId="126FB0D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10.41 </w:t>
            </w:r>
          </w:p>
        </w:tc>
        <w:tc>
          <w:tcPr>
            <w:tcW w:w="605" w:type="pct"/>
            <w:vAlign w:val="center"/>
          </w:tcPr>
          <w:p w14:paraId="0F9886C7">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54.69 </w:t>
            </w:r>
          </w:p>
        </w:tc>
      </w:tr>
      <w:tr w14:paraId="006FD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1D0730FC">
            <w:pPr>
              <w:keepLines w:val="0"/>
              <w:pageBreakBefore w:val="0"/>
              <w:wordWrap/>
              <w:overflowPunct/>
              <w:topLinePunct w:val="0"/>
              <w:bidi w:val="0"/>
              <w:spacing w:line="360" w:lineRule="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（35）</w:t>
            </w:r>
          </w:p>
        </w:tc>
        <w:tc>
          <w:tcPr>
            <w:tcW w:w="424" w:type="pct"/>
            <w:vAlign w:val="center"/>
          </w:tcPr>
          <w:p w14:paraId="7635F4C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491.07 </w:t>
            </w:r>
          </w:p>
        </w:tc>
        <w:tc>
          <w:tcPr>
            <w:tcW w:w="542" w:type="pct"/>
            <w:vAlign w:val="center"/>
          </w:tcPr>
          <w:p w14:paraId="017C07C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173.60 </w:t>
            </w:r>
          </w:p>
        </w:tc>
        <w:tc>
          <w:tcPr>
            <w:tcW w:w="572" w:type="pct"/>
            <w:vAlign w:val="center"/>
          </w:tcPr>
          <w:p w14:paraId="35B94C2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177.46 </w:t>
            </w:r>
          </w:p>
        </w:tc>
        <w:tc>
          <w:tcPr>
            <w:tcW w:w="478" w:type="pct"/>
            <w:vAlign w:val="center"/>
          </w:tcPr>
          <w:p w14:paraId="4863DC8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190.34 </w:t>
            </w:r>
          </w:p>
        </w:tc>
        <w:tc>
          <w:tcPr>
            <w:tcW w:w="462" w:type="pct"/>
            <w:vAlign w:val="center"/>
          </w:tcPr>
          <w:p w14:paraId="7B228AA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25.85 </w:t>
            </w:r>
          </w:p>
        </w:tc>
        <w:tc>
          <w:tcPr>
            <w:tcW w:w="550" w:type="pct"/>
            <w:vAlign w:val="center"/>
          </w:tcPr>
          <w:p w14:paraId="525C9AB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9.14 </w:t>
            </w:r>
          </w:p>
        </w:tc>
        <w:tc>
          <w:tcPr>
            <w:tcW w:w="469" w:type="pct"/>
            <w:vAlign w:val="center"/>
          </w:tcPr>
          <w:p w14:paraId="6268FAF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9.34 </w:t>
            </w:r>
          </w:p>
        </w:tc>
        <w:tc>
          <w:tcPr>
            <w:tcW w:w="447" w:type="pct"/>
            <w:vAlign w:val="center"/>
          </w:tcPr>
          <w:p w14:paraId="25785FD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10.02 </w:t>
            </w:r>
          </w:p>
        </w:tc>
        <w:tc>
          <w:tcPr>
            <w:tcW w:w="605" w:type="pct"/>
            <w:vAlign w:val="center"/>
          </w:tcPr>
          <w:p w14:paraId="22DB0371">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52.63 </w:t>
            </w:r>
          </w:p>
        </w:tc>
      </w:tr>
      <w:tr w14:paraId="2B8E1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4CB93185">
            <w:pPr>
              <w:keepLines w:val="0"/>
              <w:pageBreakBefore w:val="0"/>
              <w:wordWrap/>
              <w:overflowPunct/>
              <w:topLinePunct w:val="0"/>
              <w:bidi w:val="0"/>
              <w:spacing w:line="360" w:lineRule="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（36）</w:t>
            </w:r>
          </w:p>
        </w:tc>
        <w:tc>
          <w:tcPr>
            <w:tcW w:w="424" w:type="pct"/>
            <w:vAlign w:val="center"/>
          </w:tcPr>
          <w:p w14:paraId="68E0AD9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659.26 </w:t>
            </w:r>
          </w:p>
        </w:tc>
        <w:tc>
          <w:tcPr>
            <w:tcW w:w="542" w:type="pct"/>
            <w:vAlign w:val="center"/>
          </w:tcPr>
          <w:p w14:paraId="1873963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28.70 </w:t>
            </w:r>
          </w:p>
        </w:tc>
        <w:tc>
          <w:tcPr>
            <w:tcW w:w="572" w:type="pct"/>
            <w:vAlign w:val="center"/>
          </w:tcPr>
          <w:p w14:paraId="5AC8A51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177.46 </w:t>
            </w:r>
          </w:p>
        </w:tc>
        <w:tc>
          <w:tcPr>
            <w:tcW w:w="478" w:type="pct"/>
            <w:vAlign w:val="center"/>
          </w:tcPr>
          <w:p w14:paraId="325A16A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190.34 </w:t>
            </w:r>
          </w:p>
        </w:tc>
        <w:tc>
          <w:tcPr>
            <w:tcW w:w="462" w:type="pct"/>
            <w:vAlign w:val="center"/>
          </w:tcPr>
          <w:p w14:paraId="7676355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29.42 </w:t>
            </w:r>
          </w:p>
        </w:tc>
        <w:tc>
          <w:tcPr>
            <w:tcW w:w="550" w:type="pct"/>
            <w:vAlign w:val="center"/>
          </w:tcPr>
          <w:p w14:paraId="417EEF9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1.28 </w:t>
            </w:r>
          </w:p>
        </w:tc>
        <w:tc>
          <w:tcPr>
            <w:tcW w:w="469" w:type="pct"/>
            <w:vAlign w:val="center"/>
          </w:tcPr>
          <w:p w14:paraId="3D9DA07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7.92 </w:t>
            </w:r>
          </w:p>
        </w:tc>
        <w:tc>
          <w:tcPr>
            <w:tcW w:w="447" w:type="pct"/>
            <w:vAlign w:val="center"/>
          </w:tcPr>
          <w:p w14:paraId="7F61A16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8.49 </w:t>
            </w:r>
          </w:p>
        </w:tc>
        <w:tc>
          <w:tcPr>
            <w:tcW w:w="605" w:type="pct"/>
            <w:vAlign w:val="center"/>
          </w:tcPr>
          <w:p w14:paraId="0C0F0BDC">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44.62 </w:t>
            </w:r>
          </w:p>
        </w:tc>
      </w:tr>
      <w:tr w14:paraId="251AB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67E53F91">
            <w:pPr>
              <w:keepLines w:val="0"/>
              <w:pageBreakBefore w:val="0"/>
              <w:wordWrap/>
              <w:overflowPunct/>
              <w:topLinePunct w:val="0"/>
              <w:bidi w:val="0"/>
              <w:spacing w:line="360" w:lineRule="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（37）</w:t>
            </w:r>
          </w:p>
        </w:tc>
        <w:tc>
          <w:tcPr>
            <w:tcW w:w="424" w:type="pct"/>
            <w:vAlign w:val="center"/>
          </w:tcPr>
          <w:p w14:paraId="4A0C5B1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638.37 </w:t>
            </w:r>
          </w:p>
        </w:tc>
        <w:tc>
          <w:tcPr>
            <w:tcW w:w="542" w:type="pct"/>
            <w:vAlign w:val="center"/>
          </w:tcPr>
          <w:p w14:paraId="0D0A6AB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21.54 </w:t>
            </w:r>
          </w:p>
        </w:tc>
        <w:tc>
          <w:tcPr>
            <w:tcW w:w="572" w:type="pct"/>
            <w:vAlign w:val="center"/>
          </w:tcPr>
          <w:p w14:paraId="4A479ED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177.46 </w:t>
            </w:r>
          </w:p>
        </w:tc>
        <w:tc>
          <w:tcPr>
            <w:tcW w:w="478" w:type="pct"/>
            <w:vAlign w:val="center"/>
          </w:tcPr>
          <w:p w14:paraId="3B01368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190.34 </w:t>
            </w:r>
          </w:p>
        </w:tc>
        <w:tc>
          <w:tcPr>
            <w:tcW w:w="462" w:type="pct"/>
            <w:vAlign w:val="center"/>
          </w:tcPr>
          <w:p w14:paraId="056F2E3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29.55 </w:t>
            </w:r>
          </w:p>
        </w:tc>
        <w:tc>
          <w:tcPr>
            <w:tcW w:w="550" w:type="pct"/>
            <w:vAlign w:val="center"/>
          </w:tcPr>
          <w:p w14:paraId="50ECE75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1.00 </w:t>
            </w:r>
          </w:p>
        </w:tc>
        <w:tc>
          <w:tcPr>
            <w:tcW w:w="469" w:type="pct"/>
            <w:vAlign w:val="center"/>
          </w:tcPr>
          <w:p w14:paraId="7F88924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8.21 </w:t>
            </w:r>
          </w:p>
        </w:tc>
        <w:tc>
          <w:tcPr>
            <w:tcW w:w="447" w:type="pct"/>
            <w:vAlign w:val="center"/>
          </w:tcPr>
          <w:p w14:paraId="6970D1A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8.81 </w:t>
            </w:r>
          </w:p>
        </w:tc>
        <w:tc>
          <w:tcPr>
            <w:tcW w:w="605" w:type="pct"/>
            <w:vAlign w:val="center"/>
          </w:tcPr>
          <w:p w14:paraId="24AD2254">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46.28 </w:t>
            </w:r>
          </w:p>
        </w:tc>
      </w:tr>
      <w:tr w14:paraId="50B61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077C6736">
            <w:pPr>
              <w:keepLines w:val="0"/>
              <w:pageBreakBefore w:val="0"/>
              <w:wordWrap/>
              <w:overflowPunct/>
              <w:topLinePunct w:val="0"/>
              <w:bidi w:val="0"/>
              <w:spacing w:line="360" w:lineRule="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（38）</w:t>
            </w:r>
          </w:p>
        </w:tc>
        <w:tc>
          <w:tcPr>
            <w:tcW w:w="424" w:type="pct"/>
            <w:vAlign w:val="center"/>
          </w:tcPr>
          <w:p w14:paraId="4BB2D9A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510.56 </w:t>
            </w:r>
          </w:p>
        </w:tc>
        <w:tc>
          <w:tcPr>
            <w:tcW w:w="542" w:type="pct"/>
            <w:vAlign w:val="center"/>
          </w:tcPr>
          <w:p w14:paraId="0FCD39D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130.56 </w:t>
            </w:r>
          </w:p>
        </w:tc>
        <w:tc>
          <w:tcPr>
            <w:tcW w:w="572" w:type="pct"/>
            <w:vAlign w:val="center"/>
          </w:tcPr>
          <w:p w14:paraId="6895E9A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195.21 </w:t>
            </w:r>
          </w:p>
        </w:tc>
        <w:tc>
          <w:tcPr>
            <w:tcW w:w="478" w:type="pct"/>
            <w:vAlign w:val="center"/>
          </w:tcPr>
          <w:p w14:paraId="353BC61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174.48 </w:t>
            </w:r>
          </w:p>
        </w:tc>
        <w:tc>
          <w:tcPr>
            <w:tcW w:w="462" w:type="pct"/>
            <w:vAlign w:val="center"/>
          </w:tcPr>
          <w:p w14:paraId="63F3C0B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26.88 </w:t>
            </w:r>
          </w:p>
        </w:tc>
        <w:tc>
          <w:tcPr>
            <w:tcW w:w="550" w:type="pct"/>
            <w:vAlign w:val="center"/>
          </w:tcPr>
          <w:p w14:paraId="19076F0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6.87 </w:t>
            </w:r>
          </w:p>
        </w:tc>
        <w:tc>
          <w:tcPr>
            <w:tcW w:w="469" w:type="pct"/>
            <w:vAlign w:val="center"/>
          </w:tcPr>
          <w:p w14:paraId="121B273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10.28 </w:t>
            </w:r>
          </w:p>
        </w:tc>
        <w:tc>
          <w:tcPr>
            <w:tcW w:w="447" w:type="pct"/>
            <w:vAlign w:val="center"/>
          </w:tcPr>
          <w:p w14:paraId="1CD80CB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9.18 </w:t>
            </w:r>
          </w:p>
        </w:tc>
        <w:tc>
          <w:tcPr>
            <w:tcW w:w="605" w:type="pct"/>
            <w:vAlign w:val="center"/>
          </w:tcPr>
          <w:p w14:paraId="3C621D07">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52.64 </w:t>
            </w:r>
          </w:p>
        </w:tc>
      </w:tr>
      <w:tr w14:paraId="70D89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76E10F92">
            <w:pPr>
              <w:keepLines w:val="0"/>
              <w:pageBreakBefore w:val="0"/>
              <w:wordWrap/>
              <w:overflowPunct/>
              <w:topLinePunct w:val="0"/>
              <w:bidi w:val="0"/>
              <w:spacing w:line="360" w:lineRule="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（39）</w:t>
            </w:r>
          </w:p>
        </w:tc>
        <w:tc>
          <w:tcPr>
            <w:tcW w:w="424" w:type="pct"/>
            <w:vAlign w:val="center"/>
          </w:tcPr>
          <w:p w14:paraId="2AAA1AD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519.80 </w:t>
            </w:r>
          </w:p>
        </w:tc>
        <w:tc>
          <w:tcPr>
            <w:tcW w:w="542" w:type="pct"/>
            <w:vAlign w:val="center"/>
          </w:tcPr>
          <w:p w14:paraId="362CFD8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158.42 </w:t>
            </w:r>
          </w:p>
        </w:tc>
        <w:tc>
          <w:tcPr>
            <w:tcW w:w="572" w:type="pct"/>
            <w:vAlign w:val="center"/>
          </w:tcPr>
          <w:p w14:paraId="2751675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195.21 </w:t>
            </w:r>
          </w:p>
        </w:tc>
        <w:tc>
          <w:tcPr>
            <w:tcW w:w="478" w:type="pct"/>
            <w:vAlign w:val="center"/>
          </w:tcPr>
          <w:p w14:paraId="58D9A06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174.48 </w:t>
            </w:r>
          </w:p>
        </w:tc>
        <w:tc>
          <w:tcPr>
            <w:tcW w:w="462" w:type="pct"/>
            <w:vAlign w:val="center"/>
          </w:tcPr>
          <w:p w14:paraId="790C728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26.35 </w:t>
            </w:r>
          </w:p>
        </w:tc>
        <w:tc>
          <w:tcPr>
            <w:tcW w:w="550" w:type="pct"/>
            <w:vAlign w:val="center"/>
          </w:tcPr>
          <w:p w14:paraId="3B43153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8.03 </w:t>
            </w:r>
          </w:p>
        </w:tc>
        <w:tc>
          <w:tcPr>
            <w:tcW w:w="469" w:type="pct"/>
            <w:vAlign w:val="center"/>
          </w:tcPr>
          <w:p w14:paraId="3EFDC95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9.90 </w:t>
            </w:r>
          </w:p>
        </w:tc>
        <w:tc>
          <w:tcPr>
            <w:tcW w:w="447" w:type="pct"/>
            <w:vAlign w:val="center"/>
          </w:tcPr>
          <w:p w14:paraId="3F8C36C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8.84 </w:t>
            </w:r>
          </w:p>
        </w:tc>
        <w:tc>
          <w:tcPr>
            <w:tcW w:w="605" w:type="pct"/>
            <w:vAlign w:val="center"/>
          </w:tcPr>
          <w:p w14:paraId="4DEE894B">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50.69 </w:t>
            </w:r>
          </w:p>
        </w:tc>
      </w:tr>
      <w:tr w14:paraId="22EB0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6C099E77">
            <w:pPr>
              <w:keepLines w:val="0"/>
              <w:pageBreakBefore w:val="0"/>
              <w:wordWrap/>
              <w:overflowPunct/>
              <w:topLinePunct w:val="0"/>
              <w:bidi w:val="0"/>
              <w:spacing w:line="360" w:lineRule="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（40）</w:t>
            </w:r>
          </w:p>
        </w:tc>
        <w:tc>
          <w:tcPr>
            <w:tcW w:w="424" w:type="pct"/>
            <w:vAlign w:val="center"/>
          </w:tcPr>
          <w:p w14:paraId="5E83B5B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502.84 </w:t>
            </w:r>
          </w:p>
        </w:tc>
        <w:tc>
          <w:tcPr>
            <w:tcW w:w="542" w:type="pct"/>
            <w:vAlign w:val="center"/>
          </w:tcPr>
          <w:p w14:paraId="443B6AF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121.60 </w:t>
            </w:r>
          </w:p>
        </w:tc>
        <w:tc>
          <w:tcPr>
            <w:tcW w:w="572" w:type="pct"/>
            <w:vAlign w:val="center"/>
          </w:tcPr>
          <w:p w14:paraId="369249E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195.21 </w:t>
            </w:r>
          </w:p>
        </w:tc>
        <w:tc>
          <w:tcPr>
            <w:tcW w:w="478" w:type="pct"/>
            <w:vAlign w:val="center"/>
          </w:tcPr>
          <w:p w14:paraId="3011774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174.48 </w:t>
            </w:r>
          </w:p>
        </w:tc>
        <w:tc>
          <w:tcPr>
            <w:tcW w:w="462" w:type="pct"/>
            <w:vAlign w:val="center"/>
          </w:tcPr>
          <w:p w14:paraId="65EE302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27.03 </w:t>
            </w:r>
          </w:p>
        </w:tc>
        <w:tc>
          <w:tcPr>
            <w:tcW w:w="550" w:type="pct"/>
            <w:vAlign w:val="center"/>
          </w:tcPr>
          <w:p w14:paraId="45DD2C2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6.54 </w:t>
            </w:r>
          </w:p>
        </w:tc>
        <w:tc>
          <w:tcPr>
            <w:tcW w:w="469" w:type="pct"/>
            <w:vAlign w:val="center"/>
          </w:tcPr>
          <w:p w14:paraId="4892A25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10.49 </w:t>
            </w:r>
          </w:p>
        </w:tc>
        <w:tc>
          <w:tcPr>
            <w:tcW w:w="447" w:type="pct"/>
            <w:vAlign w:val="center"/>
          </w:tcPr>
          <w:p w14:paraId="120E64E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9.38 </w:t>
            </w:r>
          </w:p>
        </w:tc>
        <w:tc>
          <w:tcPr>
            <w:tcW w:w="605" w:type="pct"/>
            <w:vAlign w:val="center"/>
          </w:tcPr>
          <w:p w14:paraId="1A611822">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53.75 </w:t>
            </w:r>
          </w:p>
        </w:tc>
      </w:tr>
      <w:tr w14:paraId="77C6F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453AEA72">
            <w:pPr>
              <w:keepLines w:val="0"/>
              <w:pageBreakBefore w:val="0"/>
              <w:wordWrap/>
              <w:overflowPunct/>
              <w:topLinePunct w:val="0"/>
              <w:bidi w:val="0"/>
              <w:spacing w:line="360" w:lineRule="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（41）</w:t>
            </w:r>
          </w:p>
        </w:tc>
        <w:tc>
          <w:tcPr>
            <w:tcW w:w="424" w:type="pct"/>
            <w:vAlign w:val="center"/>
          </w:tcPr>
          <w:p w14:paraId="46B92F3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496.93 </w:t>
            </w:r>
          </w:p>
        </w:tc>
        <w:tc>
          <w:tcPr>
            <w:tcW w:w="542" w:type="pct"/>
            <w:vAlign w:val="center"/>
          </w:tcPr>
          <w:p w14:paraId="6F8C3C3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124.76 </w:t>
            </w:r>
          </w:p>
        </w:tc>
        <w:tc>
          <w:tcPr>
            <w:tcW w:w="572" w:type="pct"/>
            <w:vAlign w:val="center"/>
          </w:tcPr>
          <w:p w14:paraId="494511D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177.46 </w:t>
            </w:r>
          </w:p>
        </w:tc>
        <w:tc>
          <w:tcPr>
            <w:tcW w:w="478" w:type="pct"/>
            <w:vAlign w:val="center"/>
          </w:tcPr>
          <w:p w14:paraId="01BD9C3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190.34 </w:t>
            </w:r>
          </w:p>
        </w:tc>
        <w:tc>
          <w:tcPr>
            <w:tcW w:w="462" w:type="pct"/>
            <w:vAlign w:val="center"/>
          </w:tcPr>
          <w:p w14:paraId="3F8DC30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26.93 </w:t>
            </w:r>
          </w:p>
        </w:tc>
        <w:tc>
          <w:tcPr>
            <w:tcW w:w="550" w:type="pct"/>
            <w:vAlign w:val="center"/>
          </w:tcPr>
          <w:p w14:paraId="19E2C69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6.76 </w:t>
            </w:r>
          </w:p>
        </w:tc>
        <w:tc>
          <w:tcPr>
            <w:tcW w:w="469" w:type="pct"/>
            <w:vAlign w:val="center"/>
          </w:tcPr>
          <w:p w14:paraId="515A4A4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9.62 </w:t>
            </w:r>
          </w:p>
        </w:tc>
        <w:tc>
          <w:tcPr>
            <w:tcW w:w="447" w:type="pct"/>
            <w:vAlign w:val="center"/>
          </w:tcPr>
          <w:p w14:paraId="7DBB375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10.31 </w:t>
            </w:r>
          </w:p>
        </w:tc>
        <w:tc>
          <w:tcPr>
            <w:tcW w:w="605" w:type="pct"/>
            <w:vAlign w:val="center"/>
          </w:tcPr>
          <w:p w14:paraId="60090E61">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54.19 </w:t>
            </w:r>
          </w:p>
        </w:tc>
      </w:tr>
      <w:tr w14:paraId="7FD25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7442CD48">
            <w:pPr>
              <w:keepLines w:val="0"/>
              <w:pageBreakBefore w:val="0"/>
              <w:wordWrap/>
              <w:overflowPunct/>
              <w:topLinePunct w:val="0"/>
              <w:bidi w:val="0"/>
              <w:spacing w:line="360" w:lineRule="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（42）</w:t>
            </w:r>
          </w:p>
        </w:tc>
        <w:tc>
          <w:tcPr>
            <w:tcW w:w="424" w:type="pct"/>
            <w:vAlign w:val="center"/>
          </w:tcPr>
          <w:p w14:paraId="29B213A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441.48 </w:t>
            </w:r>
          </w:p>
        </w:tc>
        <w:tc>
          <w:tcPr>
            <w:tcW w:w="542" w:type="pct"/>
            <w:vAlign w:val="center"/>
          </w:tcPr>
          <w:p w14:paraId="1EDE760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321.06 </w:t>
            </w:r>
          </w:p>
        </w:tc>
        <w:tc>
          <w:tcPr>
            <w:tcW w:w="572" w:type="pct"/>
            <w:vAlign w:val="center"/>
          </w:tcPr>
          <w:p w14:paraId="016050B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177.46 </w:t>
            </w:r>
          </w:p>
        </w:tc>
        <w:tc>
          <w:tcPr>
            <w:tcW w:w="478" w:type="pct"/>
            <w:vAlign w:val="center"/>
          </w:tcPr>
          <w:p w14:paraId="2349208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190.34 </w:t>
            </w:r>
          </w:p>
        </w:tc>
        <w:tc>
          <w:tcPr>
            <w:tcW w:w="462" w:type="pct"/>
            <w:vAlign w:val="center"/>
          </w:tcPr>
          <w:p w14:paraId="12EC200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22.55 </w:t>
            </w:r>
          </w:p>
        </w:tc>
        <w:tc>
          <w:tcPr>
            <w:tcW w:w="550" w:type="pct"/>
            <w:vAlign w:val="center"/>
          </w:tcPr>
          <w:p w14:paraId="2FE8552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16.40 </w:t>
            </w:r>
          </w:p>
        </w:tc>
        <w:tc>
          <w:tcPr>
            <w:tcW w:w="469" w:type="pct"/>
            <w:vAlign w:val="center"/>
          </w:tcPr>
          <w:p w14:paraId="745FAA5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9.06 </w:t>
            </w:r>
          </w:p>
        </w:tc>
        <w:tc>
          <w:tcPr>
            <w:tcW w:w="447" w:type="pct"/>
            <w:vAlign w:val="center"/>
          </w:tcPr>
          <w:p w14:paraId="6FF1179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9.72 </w:t>
            </w:r>
          </w:p>
        </w:tc>
        <w:tc>
          <w:tcPr>
            <w:tcW w:w="605" w:type="pct"/>
            <w:vAlign w:val="center"/>
          </w:tcPr>
          <w:p w14:paraId="22D9A7D6">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51.07 </w:t>
            </w:r>
          </w:p>
        </w:tc>
      </w:tr>
      <w:tr w14:paraId="2F60E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54D90589">
            <w:pPr>
              <w:keepLines w:val="0"/>
              <w:pageBreakBefore w:val="0"/>
              <w:wordWrap/>
              <w:overflowPunct/>
              <w:topLinePunct w:val="0"/>
              <w:bidi w:val="0"/>
              <w:spacing w:line="360" w:lineRule="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（43）</w:t>
            </w:r>
          </w:p>
        </w:tc>
        <w:tc>
          <w:tcPr>
            <w:tcW w:w="424" w:type="pct"/>
            <w:vAlign w:val="center"/>
          </w:tcPr>
          <w:p w14:paraId="7865EE1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471.61 </w:t>
            </w:r>
          </w:p>
        </w:tc>
        <w:tc>
          <w:tcPr>
            <w:tcW w:w="542" w:type="pct"/>
            <w:vAlign w:val="center"/>
          </w:tcPr>
          <w:p w14:paraId="1259E1D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222.66 </w:t>
            </w:r>
          </w:p>
        </w:tc>
        <w:tc>
          <w:tcPr>
            <w:tcW w:w="572" w:type="pct"/>
            <w:vAlign w:val="center"/>
          </w:tcPr>
          <w:p w14:paraId="0E472E0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177.46 </w:t>
            </w:r>
          </w:p>
        </w:tc>
        <w:tc>
          <w:tcPr>
            <w:tcW w:w="478" w:type="pct"/>
            <w:vAlign w:val="center"/>
          </w:tcPr>
          <w:p w14:paraId="0AABA6E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190.34 </w:t>
            </w:r>
          </w:p>
        </w:tc>
        <w:tc>
          <w:tcPr>
            <w:tcW w:w="462" w:type="pct"/>
            <w:vAlign w:val="center"/>
          </w:tcPr>
          <w:p w14:paraId="14BCE26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24.70 </w:t>
            </w:r>
          </w:p>
        </w:tc>
        <w:tc>
          <w:tcPr>
            <w:tcW w:w="550" w:type="pct"/>
            <w:vAlign w:val="center"/>
          </w:tcPr>
          <w:p w14:paraId="79AC0EA5">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11.66 </w:t>
            </w:r>
          </w:p>
        </w:tc>
        <w:tc>
          <w:tcPr>
            <w:tcW w:w="469" w:type="pct"/>
            <w:vAlign w:val="center"/>
          </w:tcPr>
          <w:p w14:paraId="2990D6D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9.29 </w:t>
            </w:r>
          </w:p>
        </w:tc>
        <w:tc>
          <w:tcPr>
            <w:tcW w:w="447" w:type="pct"/>
            <w:vAlign w:val="center"/>
          </w:tcPr>
          <w:p w14:paraId="1E2B81B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9.97 </w:t>
            </w:r>
          </w:p>
        </w:tc>
        <w:tc>
          <w:tcPr>
            <w:tcW w:w="605" w:type="pct"/>
            <w:vAlign w:val="center"/>
          </w:tcPr>
          <w:p w14:paraId="3F557AD6">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52.37 </w:t>
            </w:r>
          </w:p>
        </w:tc>
      </w:tr>
      <w:tr w14:paraId="620B1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0B645847">
            <w:pPr>
              <w:keepLines w:val="0"/>
              <w:pageBreakBefore w:val="0"/>
              <w:wordWrap/>
              <w:overflowPunct/>
              <w:topLinePunct w:val="0"/>
              <w:bidi w:val="0"/>
              <w:spacing w:line="360" w:lineRule="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（44）</w:t>
            </w:r>
          </w:p>
        </w:tc>
        <w:tc>
          <w:tcPr>
            <w:tcW w:w="424" w:type="pct"/>
            <w:vAlign w:val="center"/>
          </w:tcPr>
          <w:p w14:paraId="0E85C759">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519.83 </w:t>
            </w:r>
          </w:p>
        </w:tc>
        <w:tc>
          <w:tcPr>
            <w:tcW w:w="542" w:type="pct"/>
            <w:vAlign w:val="center"/>
          </w:tcPr>
          <w:p w14:paraId="49F672F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123.81 </w:t>
            </w:r>
          </w:p>
        </w:tc>
        <w:tc>
          <w:tcPr>
            <w:tcW w:w="572" w:type="pct"/>
            <w:vAlign w:val="center"/>
          </w:tcPr>
          <w:p w14:paraId="5D7AF8E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177.46 </w:t>
            </w:r>
          </w:p>
        </w:tc>
        <w:tc>
          <w:tcPr>
            <w:tcW w:w="478" w:type="pct"/>
            <w:vAlign w:val="center"/>
          </w:tcPr>
          <w:p w14:paraId="6FAABCCC">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190.34 </w:t>
            </w:r>
          </w:p>
        </w:tc>
        <w:tc>
          <w:tcPr>
            <w:tcW w:w="462" w:type="pct"/>
            <w:vAlign w:val="center"/>
          </w:tcPr>
          <w:p w14:paraId="2D6DE63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27.07 </w:t>
            </w:r>
          </w:p>
        </w:tc>
        <w:tc>
          <w:tcPr>
            <w:tcW w:w="550" w:type="pct"/>
            <w:vAlign w:val="center"/>
          </w:tcPr>
          <w:p w14:paraId="2B0B11A4">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6.45 </w:t>
            </w:r>
          </w:p>
        </w:tc>
        <w:tc>
          <w:tcPr>
            <w:tcW w:w="469" w:type="pct"/>
            <w:vAlign w:val="center"/>
          </w:tcPr>
          <w:p w14:paraId="03644AB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9.24 </w:t>
            </w:r>
          </w:p>
        </w:tc>
        <w:tc>
          <w:tcPr>
            <w:tcW w:w="447" w:type="pct"/>
            <w:vAlign w:val="center"/>
          </w:tcPr>
          <w:p w14:paraId="739CD1C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9.91 </w:t>
            </w:r>
          </w:p>
        </w:tc>
        <w:tc>
          <w:tcPr>
            <w:tcW w:w="605" w:type="pct"/>
            <w:vAlign w:val="center"/>
          </w:tcPr>
          <w:p w14:paraId="083ACD15">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52.07 </w:t>
            </w:r>
          </w:p>
        </w:tc>
      </w:tr>
      <w:tr w14:paraId="004F9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37CE846A">
            <w:pPr>
              <w:keepLines w:val="0"/>
              <w:pageBreakBefore w:val="0"/>
              <w:wordWrap/>
              <w:overflowPunct/>
              <w:topLinePunct w:val="0"/>
              <w:bidi w:val="0"/>
              <w:spacing w:line="360" w:lineRule="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（45）</w:t>
            </w:r>
          </w:p>
        </w:tc>
        <w:tc>
          <w:tcPr>
            <w:tcW w:w="424" w:type="pct"/>
            <w:vAlign w:val="center"/>
          </w:tcPr>
          <w:p w14:paraId="30880F0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441.22 </w:t>
            </w:r>
          </w:p>
        </w:tc>
        <w:tc>
          <w:tcPr>
            <w:tcW w:w="542" w:type="pct"/>
            <w:vAlign w:val="center"/>
          </w:tcPr>
          <w:p w14:paraId="1D217BA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403.49 </w:t>
            </w:r>
          </w:p>
        </w:tc>
        <w:tc>
          <w:tcPr>
            <w:tcW w:w="572" w:type="pct"/>
            <w:vAlign w:val="center"/>
          </w:tcPr>
          <w:p w14:paraId="165FB11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 xml:space="preserve">88.73 </w:t>
            </w:r>
          </w:p>
        </w:tc>
        <w:tc>
          <w:tcPr>
            <w:tcW w:w="478" w:type="pct"/>
            <w:vAlign w:val="center"/>
          </w:tcPr>
          <w:p w14:paraId="6ECE3C1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 xml:space="preserve">79.31 </w:t>
            </w:r>
          </w:p>
        </w:tc>
        <w:tc>
          <w:tcPr>
            <w:tcW w:w="462" w:type="pct"/>
            <w:vAlign w:val="center"/>
          </w:tcPr>
          <w:p w14:paraId="73F5068A">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lang w:val="en-US" w:eastAsia="zh-CN"/>
              </w:rPr>
            </w:pPr>
            <w:r>
              <w:rPr>
                <w:rFonts w:hint="eastAsia" w:ascii="宋体" w:hAnsi="宋体" w:eastAsia="宋体" w:cs="宋体"/>
                <w:i w:val="0"/>
                <w:iCs w:val="0"/>
                <w:color w:val="000000"/>
                <w:kern w:val="0"/>
                <w:sz w:val="18"/>
                <w:szCs w:val="18"/>
                <w:u w:val="none"/>
                <w:lang w:val="en-US" w:eastAsia="zh-CN" w:bidi="ar"/>
              </w:rPr>
              <w:t xml:space="preserve">21.19 </w:t>
            </w:r>
          </w:p>
        </w:tc>
        <w:tc>
          <w:tcPr>
            <w:tcW w:w="550" w:type="pct"/>
            <w:vAlign w:val="center"/>
          </w:tcPr>
          <w:p w14:paraId="550F0E4B">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19.38 </w:t>
            </w:r>
          </w:p>
        </w:tc>
        <w:tc>
          <w:tcPr>
            <w:tcW w:w="469" w:type="pct"/>
            <w:vAlign w:val="center"/>
          </w:tcPr>
          <w:p w14:paraId="1A790BE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4.26 </w:t>
            </w:r>
          </w:p>
        </w:tc>
        <w:tc>
          <w:tcPr>
            <w:tcW w:w="447" w:type="pct"/>
            <w:vAlign w:val="center"/>
          </w:tcPr>
          <w:p w14:paraId="665A24E1">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3.81 </w:t>
            </w:r>
          </w:p>
        </w:tc>
        <w:tc>
          <w:tcPr>
            <w:tcW w:w="605" w:type="pct"/>
            <w:vAlign w:val="center"/>
          </w:tcPr>
          <w:p w14:paraId="7B6A56C8">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48.03 </w:t>
            </w:r>
          </w:p>
        </w:tc>
      </w:tr>
      <w:tr w14:paraId="5E131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5A3995CE">
            <w:pPr>
              <w:keepLines w:val="0"/>
              <w:pageBreakBefore w:val="0"/>
              <w:wordWrap/>
              <w:overflowPunct/>
              <w:topLinePunct w:val="0"/>
              <w:bidi w:val="0"/>
              <w:spacing w:line="360" w:lineRule="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（46）</w:t>
            </w:r>
          </w:p>
        </w:tc>
        <w:tc>
          <w:tcPr>
            <w:tcW w:w="424" w:type="pct"/>
            <w:vAlign w:val="center"/>
          </w:tcPr>
          <w:p w14:paraId="34E2547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ascii="Times New Roman" w:hAnsi="Times New Roman" w:eastAsia="宋体" w:cs="Times New Roman"/>
                <w:i w:val="0"/>
                <w:iCs w:val="0"/>
                <w:color w:val="000000"/>
                <w:kern w:val="0"/>
                <w:sz w:val="18"/>
                <w:szCs w:val="18"/>
                <w:u w:val="none"/>
                <w:lang w:val="en-US" w:eastAsia="zh-CN" w:bidi="ar"/>
              </w:rPr>
              <w:t xml:space="preserve">0.00 </w:t>
            </w:r>
          </w:p>
        </w:tc>
        <w:tc>
          <w:tcPr>
            <w:tcW w:w="542" w:type="pct"/>
            <w:vAlign w:val="center"/>
          </w:tcPr>
          <w:p w14:paraId="2C52300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ascii="Times New Roman" w:hAnsi="Times New Roman" w:eastAsia="宋体" w:cs="Times New Roman"/>
                <w:i w:val="0"/>
                <w:iCs w:val="0"/>
                <w:color w:val="000000"/>
                <w:kern w:val="0"/>
                <w:sz w:val="18"/>
                <w:szCs w:val="18"/>
                <w:u w:val="none"/>
                <w:lang w:val="en-US" w:eastAsia="zh-CN" w:bidi="ar"/>
              </w:rPr>
              <w:t xml:space="preserve">758.06 </w:t>
            </w:r>
          </w:p>
        </w:tc>
        <w:tc>
          <w:tcPr>
            <w:tcW w:w="572" w:type="pct"/>
            <w:vAlign w:val="center"/>
          </w:tcPr>
          <w:p w14:paraId="0E6453BE">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ascii="Times New Roman" w:hAnsi="Times New Roman" w:eastAsia="宋体" w:cs="Times New Roman"/>
                <w:i w:val="0"/>
                <w:iCs w:val="0"/>
                <w:color w:val="000000"/>
                <w:kern w:val="0"/>
                <w:sz w:val="18"/>
                <w:szCs w:val="18"/>
                <w:u w:val="none"/>
                <w:lang w:val="en-US" w:eastAsia="zh-CN" w:bidi="ar"/>
              </w:rPr>
              <w:t xml:space="preserve">88.73 </w:t>
            </w:r>
          </w:p>
        </w:tc>
        <w:tc>
          <w:tcPr>
            <w:tcW w:w="478" w:type="pct"/>
            <w:vAlign w:val="center"/>
          </w:tcPr>
          <w:p w14:paraId="029130E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ascii="Times New Roman" w:hAnsi="Times New Roman" w:eastAsia="宋体" w:cs="Times New Roman"/>
                <w:i w:val="0"/>
                <w:iCs w:val="0"/>
                <w:color w:val="000000"/>
                <w:kern w:val="0"/>
                <w:sz w:val="18"/>
                <w:szCs w:val="18"/>
                <w:u w:val="none"/>
                <w:lang w:val="en-US" w:eastAsia="zh-CN" w:bidi="ar"/>
              </w:rPr>
              <w:t xml:space="preserve">79.31 </w:t>
            </w:r>
          </w:p>
        </w:tc>
        <w:tc>
          <w:tcPr>
            <w:tcW w:w="462" w:type="pct"/>
            <w:vAlign w:val="center"/>
          </w:tcPr>
          <w:p w14:paraId="5AD0023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0.00 </w:t>
            </w:r>
          </w:p>
        </w:tc>
        <w:tc>
          <w:tcPr>
            <w:tcW w:w="550" w:type="pct"/>
            <w:vAlign w:val="center"/>
          </w:tcPr>
          <w:p w14:paraId="1C7C84C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66.00 </w:t>
            </w:r>
          </w:p>
        </w:tc>
        <w:tc>
          <w:tcPr>
            <w:tcW w:w="469" w:type="pct"/>
            <w:vAlign w:val="center"/>
          </w:tcPr>
          <w:p w14:paraId="2401B7C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7.73 </w:t>
            </w:r>
          </w:p>
        </w:tc>
        <w:tc>
          <w:tcPr>
            <w:tcW w:w="447" w:type="pct"/>
            <w:vAlign w:val="center"/>
          </w:tcPr>
          <w:p w14:paraId="3676684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 xml:space="preserve">6.90 </w:t>
            </w:r>
          </w:p>
        </w:tc>
        <w:tc>
          <w:tcPr>
            <w:tcW w:w="605" w:type="pct"/>
            <w:vAlign w:val="center"/>
          </w:tcPr>
          <w:p w14:paraId="7FB43A54">
            <w:pPr>
              <w:keepNext w:val="0"/>
              <w:keepLines w:val="0"/>
              <w:pageBreakBefore w:val="0"/>
              <w:widowControl/>
              <w:suppressLineNumbers w:val="0"/>
              <w:wordWrap/>
              <w:overflowPunct/>
              <w:topLinePunct w:val="0"/>
              <w:bidi w:val="0"/>
              <w:spacing w:line="360" w:lineRule="auto"/>
              <w:jc w:val="right"/>
              <w:textAlignment w:val="center"/>
              <w:rPr>
                <w:rFonts w:hint="eastAsia" w:ascii="宋体" w:hAnsi="宋体" w:eastAsia="宋体" w:cs="宋体"/>
                <w:i w:val="0"/>
                <w:iCs w:val="0"/>
                <w:color w:val="000000"/>
                <w:kern w:val="0"/>
                <w:sz w:val="18"/>
                <w:szCs w:val="18"/>
                <w:u w:val="none"/>
                <w:lang w:val="en-US" w:eastAsia="zh-CN" w:bidi="ar"/>
              </w:rPr>
            </w:pPr>
          </w:p>
        </w:tc>
      </w:tr>
      <w:tr w14:paraId="4C236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38D41202">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47</w:t>
            </w:r>
            <w:r>
              <w:rPr>
                <w:rFonts w:ascii="Times New Roman" w:hAnsi="Times New Roman" w:eastAsia="宋体" w:cs="Times New Roman"/>
                <w:sz w:val="21"/>
                <w:szCs w:val="21"/>
              </w:rPr>
              <w:t>）</w:t>
            </w:r>
          </w:p>
        </w:tc>
        <w:tc>
          <w:tcPr>
            <w:tcW w:w="424" w:type="pct"/>
            <w:vAlign w:val="center"/>
          </w:tcPr>
          <w:p w14:paraId="7DFCCE2D">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ascii="Times New Roman" w:hAnsi="Times New Roman" w:eastAsia="宋体" w:cs="Times New Roman"/>
                <w:i w:val="0"/>
                <w:iCs w:val="0"/>
                <w:color w:val="000000"/>
                <w:kern w:val="0"/>
                <w:sz w:val="18"/>
                <w:szCs w:val="18"/>
                <w:u w:val="none"/>
                <w:lang w:val="en-US" w:eastAsia="zh-CN" w:bidi="ar"/>
              </w:rPr>
              <w:t>1000</w:t>
            </w:r>
          </w:p>
        </w:tc>
        <w:tc>
          <w:tcPr>
            <w:tcW w:w="542" w:type="pct"/>
            <w:vAlign w:val="center"/>
          </w:tcPr>
          <w:p w14:paraId="1143275A">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宋体" w:cs="Times New Roman"/>
                <w:i w:val="0"/>
                <w:iCs w:val="0"/>
                <w:color w:val="000000"/>
                <w:kern w:val="0"/>
                <w:sz w:val="18"/>
                <w:szCs w:val="18"/>
                <w:u w:val="none"/>
                <w:lang w:val="en-US" w:eastAsia="zh-CN" w:bidi="ar"/>
              </w:rPr>
            </w:pPr>
          </w:p>
        </w:tc>
        <w:tc>
          <w:tcPr>
            <w:tcW w:w="572" w:type="pct"/>
            <w:vAlign w:val="center"/>
          </w:tcPr>
          <w:p w14:paraId="0695DFDD">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宋体" w:cs="Times New Roman"/>
                <w:i w:val="0"/>
                <w:iCs w:val="0"/>
                <w:color w:val="000000"/>
                <w:kern w:val="0"/>
                <w:sz w:val="18"/>
                <w:szCs w:val="18"/>
                <w:u w:val="none"/>
                <w:lang w:val="en-US" w:eastAsia="zh-CN" w:bidi="ar"/>
              </w:rPr>
            </w:pPr>
          </w:p>
        </w:tc>
        <w:tc>
          <w:tcPr>
            <w:tcW w:w="478" w:type="pct"/>
            <w:vAlign w:val="center"/>
          </w:tcPr>
          <w:p w14:paraId="1B86421F">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宋体" w:cs="Times New Roman"/>
                <w:i w:val="0"/>
                <w:iCs w:val="0"/>
                <w:color w:val="000000"/>
                <w:kern w:val="0"/>
                <w:sz w:val="18"/>
                <w:szCs w:val="18"/>
                <w:u w:val="none"/>
                <w:lang w:val="en-US" w:eastAsia="zh-CN" w:bidi="ar"/>
              </w:rPr>
            </w:pPr>
          </w:p>
        </w:tc>
        <w:tc>
          <w:tcPr>
            <w:tcW w:w="462" w:type="pct"/>
            <w:vAlign w:val="center"/>
          </w:tcPr>
          <w:p w14:paraId="3F0603A4">
            <w:pPr>
              <w:keepNext w:val="0"/>
              <w:keepLines w:val="0"/>
              <w:pageBreakBefore w:val="0"/>
              <w:widowControl/>
              <w:suppressLineNumbers w:val="0"/>
              <w:wordWrap/>
              <w:overflowPunct/>
              <w:topLinePunct w:val="0"/>
              <w:bidi w:val="0"/>
              <w:spacing w:line="360" w:lineRule="auto"/>
              <w:jc w:val="righ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30</w:t>
            </w:r>
          </w:p>
        </w:tc>
        <w:tc>
          <w:tcPr>
            <w:tcW w:w="550" w:type="pct"/>
            <w:vAlign w:val="center"/>
          </w:tcPr>
          <w:p w14:paraId="09BA2306">
            <w:pPr>
              <w:keepNext w:val="0"/>
              <w:keepLines w:val="0"/>
              <w:pageBreakBefore w:val="0"/>
              <w:widowControl/>
              <w:suppressLineNumbers w:val="0"/>
              <w:wordWrap/>
              <w:overflowPunct/>
              <w:topLinePunct w:val="0"/>
              <w:bidi w:val="0"/>
              <w:spacing w:line="360" w:lineRule="auto"/>
              <w:jc w:val="right"/>
              <w:textAlignment w:val="center"/>
              <w:rPr>
                <w:rFonts w:hint="eastAsia" w:ascii="宋体" w:hAnsi="宋体" w:eastAsia="宋体" w:cs="宋体"/>
                <w:i w:val="0"/>
                <w:iCs w:val="0"/>
                <w:color w:val="000000"/>
                <w:kern w:val="0"/>
                <w:sz w:val="18"/>
                <w:szCs w:val="18"/>
                <w:u w:val="none"/>
                <w:lang w:val="en-US" w:eastAsia="zh-CN" w:bidi="ar"/>
              </w:rPr>
            </w:pPr>
          </w:p>
        </w:tc>
        <w:tc>
          <w:tcPr>
            <w:tcW w:w="469" w:type="pct"/>
            <w:vAlign w:val="center"/>
          </w:tcPr>
          <w:p w14:paraId="69E9E418">
            <w:pPr>
              <w:keepNext w:val="0"/>
              <w:keepLines w:val="0"/>
              <w:pageBreakBefore w:val="0"/>
              <w:widowControl/>
              <w:suppressLineNumbers w:val="0"/>
              <w:wordWrap/>
              <w:overflowPunct/>
              <w:topLinePunct w:val="0"/>
              <w:bidi w:val="0"/>
              <w:spacing w:line="360" w:lineRule="auto"/>
              <w:jc w:val="right"/>
              <w:textAlignment w:val="center"/>
              <w:rPr>
                <w:rFonts w:hint="eastAsia" w:ascii="宋体" w:hAnsi="宋体" w:eastAsia="宋体" w:cs="宋体"/>
                <w:i w:val="0"/>
                <w:iCs w:val="0"/>
                <w:color w:val="000000"/>
                <w:kern w:val="0"/>
                <w:sz w:val="18"/>
                <w:szCs w:val="18"/>
                <w:u w:val="none"/>
                <w:lang w:val="en-US" w:eastAsia="zh-CN" w:bidi="ar"/>
              </w:rPr>
            </w:pPr>
          </w:p>
        </w:tc>
        <w:tc>
          <w:tcPr>
            <w:tcW w:w="447" w:type="pct"/>
            <w:vAlign w:val="center"/>
          </w:tcPr>
          <w:p w14:paraId="21A94314">
            <w:pPr>
              <w:keepNext w:val="0"/>
              <w:keepLines w:val="0"/>
              <w:pageBreakBefore w:val="0"/>
              <w:widowControl/>
              <w:suppressLineNumbers w:val="0"/>
              <w:wordWrap/>
              <w:overflowPunct/>
              <w:topLinePunct w:val="0"/>
              <w:bidi w:val="0"/>
              <w:spacing w:line="360" w:lineRule="auto"/>
              <w:jc w:val="right"/>
              <w:textAlignment w:val="center"/>
              <w:rPr>
                <w:rFonts w:hint="eastAsia" w:ascii="宋体" w:hAnsi="宋体" w:eastAsia="宋体" w:cs="宋体"/>
                <w:i w:val="0"/>
                <w:iCs w:val="0"/>
                <w:color w:val="000000"/>
                <w:kern w:val="0"/>
                <w:sz w:val="18"/>
                <w:szCs w:val="18"/>
                <w:u w:val="none"/>
                <w:lang w:val="en-US" w:eastAsia="zh-CN" w:bidi="ar"/>
              </w:rPr>
            </w:pPr>
          </w:p>
        </w:tc>
        <w:tc>
          <w:tcPr>
            <w:tcW w:w="605" w:type="pct"/>
            <w:vAlign w:val="center"/>
          </w:tcPr>
          <w:p w14:paraId="1E5D19DB">
            <w:pPr>
              <w:keepNext w:val="0"/>
              <w:keepLines w:val="0"/>
              <w:pageBreakBefore w:val="0"/>
              <w:widowControl/>
              <w:suppressLineNumbers w:val="0"/>
              <w:wordWrap/>
              <w:overflowPunct/>
              <w:topLinePunct w:val="0"/>
              <w:bidi w:val="0"/>
              <w:spacing w:line="360" w:lineRule="auto"/>
              <w:jc w:val="righ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30</w:t>
            </w:r>
          </w:p>
        </w:tc>
      </w:tr>
      <w:tr w14:paraId="408E9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3C88EA0B">
            <w:pPr>
              <w:keepLines w:val="0"/>
              <w:pageBreakBefore w:val="0"/>
              <w:wordWrap/>
              <w:overflowPunct/>
              <w:topLinePunct w:val="0"/>
              <w:bidi w:val="0"/>
              <w:spacing w:line="360" w:lineRule="auto"/>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48</w:t>
            </w:r>
            <w:r>
              <w:rPr>
                <w:rFonts w:ascii="Times New Roman" w:hAnsi="Times New Roman" w:eastAsia="宋体" w:cs="Times New Roman"/>
                <w:sz w:val="21"/>
                <w:szCs w:val="21"/>
              </w:rPr>
              <w:t>）</w:t>
            </w:r>
          </w:p>
        </w:tc>
        <w:tc>
          <w:tcPr>
            <w:tcW w:w="424" w:type="pct"/>
            <w:vAlign w:val="center"/>
          </w:tcPr>
          <w:p w14:paraId="1A7F345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ascii="Times New Roman" w:hAnsi="Times New Roman" w:eastAsia="宋体" w:cs="Times New Roman"/>
                <w:i w:val="0"/>
                <w:iCs w:val="0"/>
                <w:color w:val="000000"/>
                <w:kern w:val="0"/>
                <w:sz w:val="18"/>
                <w:szCs w:val="18"/>
                <w:u w:val="none"/>
                <w:lang w:val="en-US" w:eastAsia="zh-CN" w:bidi="ar"/>
              </w:rPr>
              <w:t>1000</w:t>
            </w:r>
          </w:p>
        </w:tc>
        <w:tc>
          <w:tcPr>
            <w:tcW w:w="542" w:type="pct"/>
            <w:vAlign w:val="center"/>
          </w:tcPr>
          <w:p w14:paraId="00DC51A2">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宋体" w:cs="Times New Roman"/>
                <w:i w:val="0"/>
                <w:iCs w:val="0"/>
                <w:color w:val="000000"/>
                <w:kern w:val="0"/>
                <w:sz w:val="18"/>
                <w:szCs w:val="18"/>
                <w:u w:val="none"/>
                <w:lang w:val="en-US" w:eastAsia="zh-CN" w:bidi="ar"/>
              </w:rPr>
            </w:pPr>
          </w:p>
        </w:tc>
        <w:tc>
          <w:tcPr>
            <w:tcW w:w="572" w:type="pct"/>
            <w:vAlign w:val="center"/>
          </w:tcPr>
          <w:p w14:paraId="6408014C">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宋体" w:cs="Times New Roman"/>
                <w:i w:val="0"/>
                <w:iCs w:val="0"/>
                <w:color w:val="000000"/>
                <w:kern w:val="0"/>
                <w:sz w:val="18"/>
                <w:szCs w:val="18"/>
                <w:u w:val="none"/>
                <w:lang w:val="en-US" w:eastAsia="zh-CN" w:bidi="ar"/>
              </w:rPr>
            </w:pPr>
          </w:p>
        </w:tc>
        <w:tc>
          <w:tcPr>
            <w:tcW w:w="478" w:type="pct"/>
            <w:vAlign w:val="center"/>
          </w:tcPr>
          <w:p w14:paraId="03950A79">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宋体" w:cs="Times New Roman"/>
                <w:i w:val="0"/>
                <w:iCs w:val="0"/>
                <w:color w:val="000000"/>
                <w:kern w:val="0"/>
                <w:sz w:val="18"/>
                <w:szCs w:val="18"/>
                <w:u w:val="none"/>
                <w:lang w:val="en-US" w:eastAsia="zh-CN" w:bidi="ar"/>
              </w:rPr>
            </w:pPr>
          </w:p>
        </w:tc>
        <w:tc>
          <w:tcPr>
            <w:tcW w:w="462" w:type="pct"/>
            <w:vAlign w:val="center"/>
          </w:tcPr>
          <w:p w14:paraId="4EC4D1E8">
            <w:pPr>
              <w:keepNext w:val="0"/>
              <w:keepLines w:val="0"/>
              <w:pageBreakBefore w:val="0"/>
              <w:widowControl/>
              <w:suppressLineNumbers w:val="0"/>
              <w:wordWrap/>
              <w:overflowPunct/>
              <w:topLinePunct w:val="0"/>
              <w:bidi w:val="0"/>
              <w:spacing w:line="360" w:lineRule="auto"/>
              <w:jc w:val="righ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30</w:t>
            </w:r>
          </w:p>
        </w:tc>
        <w:tc>
          <w:tcPr>
            <w:tcW w:w="550" w:type="pct"/>
            <w:vAlign w:val="center"/>
          </w:tcPr>
          <w:p w14:paraId="3781484A">
            <w:pPr>
              <w:keepNext w:val="0"/>
              <w:keepLines w:val="0"/>
              <w:pageBreakBefore w:val="0"/>
              <w:widowControl/>
              <w:suppressLineNumbers w:val="0"/>
              <w:wordWrap/>
              <w:overflowPunct/>
              <w:topLinePunct w:val="0"/>
              <w:bidi w:val="0"/>
              <w:spacing w:line="360" w:lineRule="auto"/>
              <w:jc w:val="right"/>
              <w:textAlignment w:val="center"/>
              <w:rPr>
                <w:rFonts w:hint="eastAsia" w:ascii="宋体" w:hAnsi="宋体" w:eastAsia="宋体" w:cs="宋体"/>
                <w:i w:val="0"/>
                <w:iCs w:val="0"/>
                <w:color w:val="000000"/>
                <w:kern w:val="0"/>
                <w:sz w:val="18"/>
                <w:szCs w:val="18"/>
                <w:u w:val="none"/>
                <w:lang w:val="en-US" w:eastAsia="zh-CN" w:bidi="ar"/>
              </w:rPr>
            </w:pPr>
          </w:p>
        </w:tc>
        <w:tc>
          <w:tcPr>
            <w:tcW w:w="469" w:type="pct"/>
            <w:vAlign w:val="center"/>
          </w:tcPr>
          <w:p w14:paraId="553A0723">
            <w:pPr>
              <w:keepNext w:val="0"/>
              <w:keepLines w:val="0"/>
              <w:pageBreakBefore w:val="0"/>
              <w:widowControl/>
              <w:suppressLineNumbers w:val="0"/>
              <w:wordWrap/>
              <w:overflowPunct/>
              <w:topLinePunct w:val="0"/>
              <w:bidi w:val="0"/>
              <w:spacing w:line="360" w:lineRule="auto"/>
              <w:jc w:val="right"/>
              <w:textAlignment w:val="center"/>
              <w:rPr>
                <w:rFonts w:hint="eastAsia" w:ascii="宋体" w:hAnsi="宋体" w:eastAsia="宋体" w:cs="宋体"/>
                <w:i w:val="0"/>
                <w:iCs w:val="0"/>
                <w:color w:val="000000"/>
                <w:kern w:val="0"/>
                <w:sz w:val="18"/>
                <w:szCs w:val="18"/>
                <w:u w:val="none"/>
                <w:lang w:val="en-US" w:eastAsia="zh-CN" w:bidi="ar"/>
              </w:rPr>
            </w:pPr>
          </w:p>
        </w:tc>
        <w:tc>
          <w:tcPr>
            <w:tcW w:w="447" w:type="pct"/>
            <w:vAlign w:val="center"/>
          </w:tcPr>
          <w:p w14:paraId="5CA6CE8D">
            <w:pPr>
              <w:keepNext w:val="0"/>
              <w:keepLines w:val="0"/>
              <w:pageBreakBefore w:val="0"/>
              <w:widowControl/>
              <w:suppressLineNumbers w:val="0"/>
              <w:wordWrap/>
              <w:overflowPunct/>
              <w:topLinePunct w:val="0"/>
              <w:bidi w:val="0"/>
              <w:spacing w:line="360" w:lineRule="auto"/>
              <w:jc w:val="right"/>
              <w:textAlignment w:val="center"/>
              <w:rPr>
                <w:rFonts w:hint="eastAsia" w:ascii="宋体" w:hAnsi="宋体" w:eastAsia="宋体" w:cs="宋体"/>
                <w:i w:val="0"/>
                <w:iCs w:val="0"/>
                <w:color w:val="000000"/>
                <w:kern w:val="0"/>
                <w:sz w:val="18"/>
                <w:szCs w:val="18"/>
                <w:u w:val="none"/>
                <w:lang w:val="en-US" w:eastAsia="zh-CN" w:bidi="ar"/>
              </w:rPr>
            </w:pPr>
          </w:p>
        </w:tc>
        <w:tc>
          <w:tcPr>
            <w:tcW w:w="605" w:type="pct"/>
            <w:vAlign w:val="center"/>
          </w:tcPr>
          <w:p w14:paraId="7417D66D">
            <w:pPr>
              <w:keepNext w:val="0"/>
              <w:keepLines w:val="0"/>
              <w:pageBreakBefore w:val="0"/>
              <w:widowControl/>
              <w:suppressLineNumbers w:val="0"/>
              <w:wordWrap/>
              <w:overflowPunct/>
              <w:topLinePunct w:val="0"/>
              <w:bidi w:val="0"/>
              <w:spacing w:line="360" w:lineRule="auto"/>
              <w:jc w:val="righ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30</w:t>
            </w:r>
          </w:p>
        </w:tc>
      </w:tr>
      <w:tr w14:paraId="18ECD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5E287D25">
            <w:pPr>
              <w:keepLines w:val="0"/>
              <w:pageBreakBefore w:val="0"/>
              <w:wordWrap/>
              <w:overflowPunct/>
              <w:topLinePunct w:val="0"/>
              <w:bidi w:val="0"/>
              <w:spacing w:line="360" w:lineRule="auto"/>
              <w:rPr>
                <w:rFonts w:hint="eastAsia" w:ascii="Times New Roman" w:hAnsi="Times New Roman" w:eastAsia="宋体" w:cs="Times New Roman"/>
                <w:sz w:val="18"/>
                <w:szCs w:val="18"/>
                <w:lang w:val="en-US" w:eastAsia="zh-CN"/>
              </w:rPr>
            </w:pPr>
          </w:p>
        </w:tc>
        <w:tc>
          <w:tcPr>
            <w:tcW w:w="424" w:type="pct"/>
            <w:vAlign w:val="center"/>
          </w:tcPr>
          <w:p w14:paraId="508AAEEF">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sz w:val="18"/>
                <w:szCs w:val="18"/>
                <w:lang w:val="en-US" w:eastAsia="zh-CN"/>
              </w:rPr>
            </w:pPr>
            <w:r>
              <w:rPr>
                <w:rFonts w:hint="eastAsia" w:ascii="宋体" w:hAnsi="宋体" w:eastAsia="宋体" w:cs="宋体"/>
                <w:i w:val="0"/>
                <w:iCs w:val="0"/>
                <w:color w:val="000000"/>
                <w:kern w:val="0"/>
                <w:sz w:val="18"/>
                <w:szCs w:val="18"/>
                <w:u w:val="none"/>
                <w:lang w:val="en-US" w:eastAsia="zh-CN" w:bidi="ar"/>
              </w:rPr>
              <w:t>碳铵   kg/t</w:t>
            </w:r>
          </w:p>
        </w:tc>
        <w:tc>
          <w:tcPr>
            <w:tcW w:w="542" w:type="pct"/>
            <w:vAlign w:val="center"/>
          </w:tcPr>
          <w:p w14:paraId="083235CD">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硫酸铵  kg/t</w:t>
            </w:r>
          </w:p>
        </w:tc>
        <w:tc>
          <w:tcPr>
            <w:tcW w:w="572" w:type="pct"/>
            <w:vAlign w:val="center"/>
          </w:tcPr>
          <w:p w14:paraId="1F24FF36">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sz w:val="18"/>
                <w:szCs w:val="18"/>
                <w:lang w:val="en-US" w:eastAsia="zh-CN"/>
              </w:rPr>
            </w:pPr>
            <w:r>
              <w:rPr>
                <w:rFonts w:hint="eastAsia" w:ascii="宋体" w:hAnsi="宋体" w:eastAsia="宋体" w:cs="宋体"/>
                <w:i w:val="0"/>
                <w:iCs w:val="0"/>
                <w:color w:val="000000"/>
                <w:kern w:val="0"/>
                <w:sz w:val="18"/>
                <w:szCs w:val="18"/>
                <w:u w:val="none"/>
                <w:lang w:val="en-US" w:eastAsia="zh-CN" w:bidi="ar"/>
              </w:rPr>
              <w:t>NH</w:t>
            </w:r>
            <w:r>
              <w:rPr>
                <w:rFonts w:hint="eastAsia" w:ascii="宋体" w:hAnsi="宋体" w:eastAsia="宋体" w:cs="宋体"/>
                <w:i w:val="0"/>
                <w:iCs w:val="0"/>
                <w:color w:val="000000"/>
                <w:kern w:val="0"/>
                <w:sz w:val="18"/>
                <w:szCs w:val="18"/>
                <w:u w:val="none"/>
                <w:vertAlign w:val="subscript"/>
                <w:lang w:val="en-US" w:eastAsia="zh-CN" w:bidi="ar"/>
              </w:rPr>
              <w:t>4</w:t>
            </w:r>
            <w:r>
              <w:rPr>
                <w:rFonts w:hint="eastAsia" w:ascii="宋体" w:hAnsi="宋体" w:eastAsia="宋体" w:cs="宋体"/>
                <w:i w:val="0"/>
                <w:iCs w:val="0"/>
                <w:color w:val="000000"/>
                <w:kern w:val="0"/>
                <w:sz w:val="18"/>
                <w:szCs w:val="18"/>
                <w:u w:val="none"/>
                <w:lang w:val="en-US" w:eastAsia="zh-CN" w:bidi="ar"/>
              </w:rPr>
              <w:t>H</w:t>
            </w:r>
            <w:r>
              <w:rPr>
                <w:rFonts w:hint="eastAsia" w:ascii="宋体" w:hAnsi="宋体" w:eastAsia="宋体" w:cs="宋体"/>
                <w:i w:val="0"/>
                <w:iCs w:val="0"/>
                <w:color w:val="000000"/>
                <w:kern w:val="0"/>
                <w:sz w:val="18"/>
                <w:szCs w:val="18"/>
                <w:u w:val="none"/>
                <w:vertAlign w:val="subscript"/>
                <w:lang w:val="en-US" w:eastAsia="zh-CN" w:bidi="ar"/>
              </w:rPr>
              <w:t>2</w:t>
            </w:r>
            <w:r>
              <w:rPr>
                <w:rFonts w:hint="eastAsia" w:ascii="宋体" w:hAnsi="宋体" w:eastAsia="宋体" w:cs="宋体"/>
                <w:i w:val="0"/>
                <w:iCs w:val="0"/>
                <w:color w:val="000000"/>
                <w:kern w:val="0"/>
                <w:sz w:val="18"/>
                <w:szCs w:val="18"/>
                <w:u w:val="none"/>
                <w:lang w:val="en-US" w:eastAsia="zh-CN" w:bidi="ar"/>
              </w:rPr>
              <w:t>PO</w:t>
            </w:r>
            <w:r>
              <w:rPr>
                <w:rFonts w:hint="eastAsia" w:ascii="宋体" w:hAnsi="宋体" w:eastAsia="宋体" w:cs="宋体"/>
                <w:i w:val="0"/>
                <w:iCs w:val="0"/>
                <w:color w:val="000000"/>
                <w:kern w:val="0"/>
                <w:sz w:val="18"/>
                <w:szCs w:val="18"/>
                <w:u w:val="none"/>
                <w:vertAlign w:val="subscript"/>
                <w:lang w:val="en-US" w:eastAsia="zh-CN" w:bidi="ar"/>
              </w:rPr>
              <w:t>4</w:t>
            </w:r>
            <w:r>
              <w:rPr>
                <w:rFonts w:hint="eastAsia" w:ascii="宋体" w:hAnsi="宋体" w:eastAsia="宋体" w:cs="宋体"/>
                <w:i w:val="0"/>
                <w:iCs w:val="0"/>
                <w:color w:val="000000"/>
                <w:kern w:val="0"/>
                <w:sz w:val="18"/>
                <w:szCs w:val="18"/>
                <w:u w:val="none"/>
                <w:lang w:val="en-US" w:eastAsia="zh-CN" w:bidi="ar"/>
              </w:rPr>
              <w:t xml:space="preserve">     kg/t</w:t>
            </w:r>
          </w:p>
        </w:tc>
        <w:tc>
          <w:tcPr>
            <w:tcW w:w="478" w:type="pct"/>
            <w:vAlign w:val="center"/>
          </w:tcPr>
          <w:p w14:paraId="7BAB7C8C">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sz w:val="18"/>
                <w:szCs w:val="18"/>
              </w:rPr>
            </w:pPr>
            <w:r>
              <w:rPr>
                <w:rFonts w:hint="eastAsia" w:ascii="宋体" w:hAnsi="宋体" w:eastAsia="宋体" w:cs="宋体"/>
                <w:i w:val="0"/>
                <w:iCs w:val="0"/>
                <w:color w:val="000000"/>
                <w:kern w:val="0"/>
                <w:sz w:val="18"/>
                <w:szCs w:val="18"/>
                <w:u w:val="none"/>
                <w:lang w:val="en-US" w:eastAsia="zh-CN" w:bidi="ar"/>
              </w:rPr>
              <w:t>硫酸钾              kg/t</w:t>
            </w:r>
          </w:p>
        </w:tc>
        <w:tc>
          <w:tcPr>
            <w:tcW w:w="462" w:type="pct"/>
            <w:vAlign w:val="center"/>
          </w:tcPr>
          <w:p w14:paraId="4F356C83">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sz w:val="18"/>
                <w:szCs w:val="18"/>
                <w:lang w:val="en-US" w:eastAsia="zh-CN"/>
              </w:rPr>
            </w:pPr>
          </w:p>
        </w:tc>
        <w:tc>
          <w:tcPr>
            <w:tcW w:w="550" w:type="pct"/>
            <w:vAlign w:val="center"/>
          </w:tcPr>
          <w:p w14:paraId="3E5423D6">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6"/>
                <w:szCs w:val="16"/>
              </w:rPr>
            </w:pPr>
          </w:p>
        </w:tc>
        <w:tc>
          <w:tcPr>
            <w:tcW w:w="469" w:type="pct"/>
            <w:vAlign w:val="center"/>
          </w:tcPr>
          <w:p w14:paraId="40B1F3B3">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6"/>
                <w:szCs w:val="16"/>
              </w:rPr>
            </w:pPr>
          </w:p>
        </w:tc>
        <w:tc>
          <w:tcPr>
            <w:tcW w:w="447" w:type="pct"/>
            <w:vAlign w:val="center"/>
          </w:tcPr>
          <w:p w14:paraId="10811A7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sz w:val="16"/>
                <w:szCs w:val="16"/>
              </w:rPr>
            </w:pPr>
          </w:p>
        </w:tc>
        <w:tc>
          <w:tcPr>
            <w:tcW w:w="605" w:type="pct"/>
            <w:vAlign w:val="center"/>
          </w:tcPr>
          <w:p w14:paraId="16D3CEEA">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等线" w:cs="Times New Roman"/>
                <w:i w:val="0"/>
                <w:iCs w:val="0"/>
                <w:color w:val="000000"/>
                <w:kern w:val="0"/>
                <w:sz w:val="18"/>
                <w:szCs w:val="18"/>
                <w:u w:val="none"/>
                <w:lang w:val="en-US" w:eastAsia="zh-CN" w:bidi="ar"/>
              </w:rPr>
            </w:pPr>
          </w:p>
        </w:tc>
      </w:tr>
      <w:tr w14:paraId="576F7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auto"/>
            <w:vAlign w:val="top"/>
          </w:tcPr>
          <w:p w14:paraId="586E0C53">
            <w:pPr>
              <w:keepLines w:val="0"/>
              <w:pageBreakBefore w:val="0"/>
              <w:wordWrap/>
              <w:overflowPunct/>
              <w:topLinePunct w:val="0"/>
              <w:bidi w:val="0"/>
              <w:spacing w:line="360" w:lineRule="auto"/>
              <w:rPr>
                <w:rFonts w:hint="default" w:ascii="Times New Roman" w:hAnsi="Times New Roman" w:eastAsia="宋体" w:cs="Times New Roman"/>
                <w:kern w:val="2"/>
                <w:sz w:val="18"/>
                <w:szCs w:val="18"/>
                <w:lang w:val="en-US" w:eastAsia="zh-CN" w:bidi="ar-SA"/>
              </w:rPr>
            </w:pPr>
            <w:r>
              <w:rPr>
                <w:rFonts w:hint="eastAsia" w:ascii="Times New Roman" w:hAnsi="Times New Roman" w:eastAsia="宋体" w:cs="Times New Roman"/>
                <w:sz w:val="18"/>
                <w:szCs w:val="18"/>
                <w:lang w:val="en-US" w:eastAsia="zh-CN"/>
              </w:rPr>
              <w:t>（46）重配</w:t>
            </w:r>
          </w:p>
        </w:tc>
        <w:tc>
          <w:tcPr>
            <w:tcW w:w="424" w:type="pct"/>
            <w:shd w:val="clear" w:color="auto" w:fill="auto"/>
            <w:vAlign w:val="center"/>
          </w:tcPr>
          <w:p w14:paraId="0CD085A9">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宋体" w:cs="Times New Roman"/>
                <w:i w:val="0"/>
                <w:iCs w:val="0"/>
                <w:color w:val="000000"/>
                <w:kern w:val="0"/>
                <w:sz w:val="18"/>
                <w:szCs w:val="18"/>
                <w:u w:val="none"/>
                <w:lang w:val="en-US" w:eastAsia="zh-CN" w:bidi="ar"/>
              </w:rPr>
            </w:pPr>
            <w:r>
              <w:rPr>
                <w:rFonts w:hint="eastAsia" w:ascii="Times New Roman" w:hAnsi="Times New Roman" w:eastAsia="宋体" w:cs="Times New Roman"/>
                <w:i w:val="0"/>
                <w:iCs w:val="0"/>
                <w:color w:val="000000"/>
                <w:kern w:val="0"/>
                <w:sz w:val="18"/>
                <w:szCs w:val="18"/>
                <w:u w:val="none"/>
                <w:lang w:val="en-US" w:eastAsia="zh-CN" w:bidi="ar"/>
              </w:rPr>
              <w:t xml:space="preserve">480.00 </w:t>
            </w:r>
          </w:p>
        </w:tc>
        <w:tc>
          <w:tcPr>
            <w:tcW w:w="542" w:type="pct"/>
            <w:shd w:val="clear" w:color="auto" w:fill="auto"/>
            <w:vAlign w:val="center"/>
          </w:tcPr>
          <w:p w14:paraId="2A09CC5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ascii="Times New Roman" w:hAnsi="Times New Roman" w:eastAsia="宋体" w:cs="Times New Roman"/>
                <w:i w:val="0"/>
                <w:iCs w:val="0"/>
                <w:color w:val="000000"/>
                <w:kern w:val="0"/>
                <w:sz w:val="18"/>
                <w:szCs w:val="18"/>
                <w:u w:val="none"/>
                <w:lang w:val="en-US" w:eastAsia="zh-CN" w:bidi="ar"/>
              </w:rPr>
              <w:t xml:space="preserve">382.77 </w:t>
            </w:r>
          </w:p>
        </w:tc>
        <w:tc>
          <w:tcPr>
            <w:tcW w:w="572" w:type="pct"/>
            <w:shd w:val="clear" w:color="auto" w:fill="auto"/>
            <w:vAlign w:val="center"/>
          </w:tcPr>
          <w:p w14:paraId="5CAB5332">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ascii="Times New Roman" w:hAnsi="Times New Roman" w:eastAsia="宋体" w:cs="Times New Roman"/>
                <w:i w:val="0"/>
                <w:iCs w:val="0"/>
                <w:color w:val="000000"/>
                <w:kern w:val="0"/>
                <w:sz w:val="18"/>
                <w:szCs w:val="18"/>
                <w:u w:val="none"/>
                <w:lang w:val="en-US" w:eastAsia="zh-CN" w:bidi="ar"/>
              </w:rPr>
              <w:t xml:space="preserve">80.99 </w:t>
            </w:r>
          </w:p>
        </w:tc>
        <w:tc>
          <w:tcPr>
            <w:tcW w:w="478" w:type="pct"/>
            <w:shd w:val="clear" w:color="auto" w:fill="auto"/>
            <w:vAlign w:val="center"/>
          </w:tcPr>
          <w:p w14:paraId="17347FB0">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ascii="Times New Roman" w:hAnsi="Times New Roman" w:eastAsia="宋体" w:cs="Times New Roman"/>
                <w:i w:val="0"/>
                <w:iCs w:val="0"/>
                <w:color w:val="000000"/>
                <w:kern w:val="0"/>
                <w:sz w:val="18"/>
                <w:szCs w:val="18"/>
                <w:u w:val="none"/>
                <w:lang w:val="en-US" w:eastAsia="zh-CN" w:bidi="ar"/>
              </w:rPr>
              <w:t xml:space="preserve">92.55 </w:t>
            </w:r>
          </w:p>
        </w:tc>
        <w:tc>
          <w:tcPr>
            <w:tcW w:w="462" w:type="pct"/>
            <w:shd w:val="clear" w:color="auto" w:fill="auto"/>
            <w:vAlign w:val="center"/>
          </w:tcPr>
          <w:p w14:paraId="6D4AC2F7">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宋体" w:cs="Times New Roman"/>
                <w:i w:val="0"/>
                <w:iCs w:val="0"/>
                <w:color w:val="000000"/>
                <w:kern w:val="0"/>
                <w:sz w:val="18"/>
                <w:szCs w:val="18"/>
                <w:u w:val="none"/>
                <w:lang w:val="en-US" w:eastAsia="zh-CN" w:bidi="ar"/>
              </w:rPr>
            </w:pPr>
            <w:r>
              <w:rPr>
                <w:rFonts w:hint="eastAsia" w:ascii="Times New Roman" w:hAnsi="Times New Roman" w:eastAsia="宋体" w:cs="Times New Roman"/>
                <w:i w:val="0"/>
                <w:iCs w:val="0"/>
                <w:color w:val="000000"/>
                <w:kern w:val="0"/>
                <w:sz w:val="18"/>
                <w:szCs w:val="18"/>
                <w:u w:val="none"/>
                <w:lang w:val="en-US" w:eastAsia="zh-CN" w:bidi="ar"/>
              </w:rPr>
              <w:t xml:space="preserve">43.23 </w:t>
            </w:r>
          </w:p>
        </w:tc>
        <w:tc>
          <w:tcPr>
            <w:tcW w:w="550" w:type="pct"/>
            <w:vAlign w:val="center"/>
          </w:tcPr>
          <w:p w14:paraId="790585FF">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ascii="Times New Roman" w:hAnsi="Times New Roman" w:eastAsia="宋体" w:cs="Times New Roman"/>
                <w:i w:val="0"/>
                <w:iCs w:val="0"/>
                <w:color w:val="000000"/>
                <w:kern w:val="0"/>
                <w:sz w:val="18"/>
                <w:szCs w:val="18"/>
                <w:u w:val="none"/>
                <w:lang w:val="en-US" w:eastAsia="zh-CN" w:bidi="ar"/>
              </w:rPr>
              <w:t xml:space="preserve">34.47 </w:t>
            </w:r>
          </w:p>
        </w:tc>
        <w:tc>
          <w:tcPr>
            <w:tcW w:w="469" w:type="pct"/>
            <w:vAlign w:val="center"/>
          </w:tcPr>
          <w:p w14:paraId="0A4B9578">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ascii="Times New Roman" w:hAnsi="Times New Roman" w:eastAsia="宋体" w:cs="Times New Roman"/>
                <w:i w:val="0"/>
                <w:iCs w:val="0"/>
                <w:color w:val="000000"/>
                <w:kern w:val="0"/>
                <w:sz w:val="18"/>
                <w:szCs w:val="18"/>
                <w:u w:val="none"/>
                <w:lang w:val="en-US" w:eastAsia="zh-CN" w:bidi="ar"/>
              </w:rPr>
              <w:t xml:space="preserve">7.29 </w:t>
            </w:r>
          </w:p>
        </w:tc>
        <w:tc>
          <w:tcPr>
            <w:tcW w:w="447" w:type="pct"/>
            <w:vAlign w:val="center"/>
          </w:tcPr>
          <w:p w14:paraId="079603B7">
            <w:pPr>
              <w:keepNext w:val="0"/>
              <w:keepLines w:val="0"/>
              <w:pageBreakBefore w:val="0"/>
              <w:widowControl/>
              <w:suppressLineNumbers w:val="0"/>
              <w:wordWrap/>
              <w:overflowPunct/>
              <w:topLinePunct w:val="0"/>
              <w:bidi w:val="0"/>
              <w:spacing w:line="360" w:lineRule="auto"/>
              <w:jc w:val="righ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ascii="Times New Roman" w:hAnsi="Times New Roman" w:eastAsia="宋体" w:cs="Times New Roman"/>
                <w:i w:val="0"/>
                <w:iCs w:val="0"/>
                <w:color w:val="000000"/>
                <w:kern w:val="0"/>
                <w:sz w:val="18"/>
                <w:szCs w:val="18"/>
                <w:u w:val="none"/>
                <w:lang w:val="en-US" w:eastAsia="zh-CN" w:bidi="ar"/>
              </w:rPr>
              <w:t xml:space="preserve">8.34 </w:t>
            </w:r>
          </w:p>
        </w:tc>
        <w:tc>
          <w:tcPr>
            <w:tcW w:w="605" w:type="pct"/>
            <w:shd w:val="clear" w:color="auto" w:fill="auto"/>
            <w:vAlign w:val="center"/>
          </w:tcPr>
          <w:p w14:paraId="3EDD8FFD">
            <w:pPr>
              <w:keepNext w:val="0"/>
              <w:keepLines w:val="0"/>
              <w:pageBreakBefore w:val="0"/>
              <w:widowControl/>
              <w:suppressLineNumbers w:val="0"/>
              <w:wordWrap/>
              <w:overflowPunct/>
              <w:topLinePunct w:val="0"/>
              <w:bidi w:val="0"/>
              <w:spacing w:line="360" w:lineRule="auto"/>
              <w:jc w:val="right"/>
              <w:textAlignment w:val="center"/>
              <w:rPr>
                <w:rFonts w:hint="eastAsia" w:ascii="Times New Roman" w:hAnsi="Times New Roman" w:eastAsia="宋体" w:cs="Times New Roman"/>
                <w:i w:val="0"/>
                <w:iCs w:val="0"/>
                <w:color w:val="000000"/>
                <w:kern w:val="0"/>
                <w:sz w:val="18"/>
                <w:szCs w:val="18"/>
                <w:u w:val="none"/>
                <w:lang w:val="en-US" w:eastAsia="zh-CN" w:bidi="ar"/>
              </w:rPr>
            </w:pPr>
            <w:r>
              <w:rPr>
                <w:rFonts w:hint="eastAsia" w:ascii="Times New Roman" w:hAnsi="Times New Roman" w:eastAsia="宋体" w:cs="Times New Roman"/>
                <w:i w:val="0"/>
                <w:iCs w:val="0"/>
                <w:color w:val="000000"/>
                <w:kern w:val="0"/>
                <w:sz w:val="18"/>
                <w:szCs w:val="18"/>
                <w:u w:val="none"/>
                <w:lang w:val="en-US" w:eastAsia="zh-CN" w:bidi="ar"/>
              </w:rPr>
              <w:t xml:space="preserve">93.33 </w:t>
            </w:r>
          </w:p>
        </w:tc>
      </w:tr>
    </w:tbl>
    <w:p w14:paraId="3D28BF3D">
      <w:pPr>
        <w:keepNext w:val="0"/>
        <w:keepLines w:val="0"/>
        <w:pageBreakBefore w:val="0"/>
        <w:widowControl/>
        <w:kinsoku w:val="0"/>
        <w:wordWrap/>
        <w:overflowPunct/>
        <w:topLinePunct w:val="0"/>
        <w:autoSpaceDE w:val="0"/>
        <w:autoSpaceDN w:val="0"/>
        <w:bidi w:val="0"/>
        <w:adjustRightInd w:val="0"/>
        <w:snapToGrid w:val="0"/>
        <w:spacing w:line="360" w:lineRule="auto"/>
        <w:ind w:firstLine="468" w:firstLineChars="200"/>
        <w:jc w:val="left"/>
        <w:textAlignment w:val="baseline"/>
        <w:rPr>
          <w:rFonts w:ascii="Times New Roman" w:hAnsi="Times New Roman" w:eastAsia="宋体" w:cs="Times New Roman"/>
          <w:b w:val="0"/>
          <w:bCs w:val="0"/>
          <w:snapToGrid w:val="0"/>
          <w:color w:val="auto"/>
          <w:spacing w:val="-3"/>
          <w:kern w:val="0"/>
          <w:sz w:val="24"/>
          <w:szCs w:val="24"/>
          <w:highlight w:val="none"/>
        </w:rPr>
      </w:pPr>
      <w:r>
        <w:rPr>
          <w:rFonts w:ascii="Times New Roman" w:hAnsi="Times New Roman" w:eastAsia="宋体" w:cs="Times New Roman"/>
          <w:b w:val="0"/>
          <w:bCs w:val="0"/>
          <w:snapToGrid w:val="0"/>
          <w:color w:val="auto"/>
          <w:spacing w:val="-3"/>
          <w:kern w:val="0"/>
          <w:sz w:val="24"/>
          <w:szCs w:val="24"/>
          <w:highlight w:val="none"/>
        </w:rPr>
        <w:t>（2）磷酸二氢钾溶液（0.2 mol/L）：称取 27.20 g 分析纯的磷酸二氢钾，用蒸馏水溶解</w:t>
      </w:r>
      <w:r>
        <w:rPr>
          <w:rFonts w:hint="eastAsia" w:ascii="Times New Roman" w:hAnsi="Times New Roman" w:eastAsia="宋体" w:cs="Times New Roman"/>
          <w:b w:val="0"/>
          <w:bCs w:val="0"/>
          <w:snapToGrid w:val="0"/>
          <w:color w:val="auto"/>
          <w:spacing w:val="-3"/>
          <w:kern w:val="0"/>
          <w:sz w:val="24"/>
          <w:szCs w:val="24"/>
          <w:highlight w:val="none"/>
        </w:rPr>
        <w:t>，</w:t>
      </w:r>
      <w:r>
        <w:rPr>
          <w:rFonts w:ascii="Times New Roman" w:hAnsi="Times New Roman" w:eastAsia="宋体" w:cs="Times New Roman"/>
          <w:b w:val="0"/>
          <w:bCs w:val="0"/>
          <w:snapToGrid w:val="0"/>
          <w:color w:val="auto"/>
          <w:spacing w:val="-3"/>
          <w:kern w:val="0"/>
          <w:sz w:val="24"/>
          <w:szCs w:val="24"/>
          <w:highlight w:val="none"/>
        </w:rPr>
        <w:t>定容至1L。</w:t>
      </w:r>
    </w:p>
    <w:p w14:paraId="28632A0B">
      <w:pPr>
        <w:keepNext w:val="0"/>
        <w:keepLines w:val="0"/>
        <w:pageBreakBefore w:val="0"/>
        <w:widowControl/>
        <w:kinsoku w:val="0"/>
        <w:wordWrap/>
        <w:overflowPunct/>
        <w:topLinePunct w:val="0"/>
        <w:autoSpaceDE w:val="0"/>
        <w:autoSpaceDN w:val="0"/>
        <w:bidi w:val="0"/>
        <w:adjustRightInd w:val="0"/>
        <w:snapToGrid w:val="0"/>
        <w:spacing w:line="360" w:lineRule="auto"/>
        <w:ind w:firstLine="468" w:firstLineChars="200"/>
        <w:jc w:val="left"/>
        <w:textAlignment w:val="baseline"/>
        <w:rPr>
          <w:rFonts w:ascii="Times New Roman" w:hAnsi="Times New Roman" w:eastAsia="宋体" w:cs="Times New Roman"/>
          <w:b w:val="0"/>
          <w:bCs w:val="0"/>
          <w:snapToGrid w:val="0"/>
          <w:color w:val="auto"/>
          <w:spacing w:val="-3"/>
          <w:kern w:val="0"/>
          <w:sz w:val="24"/>
          <w:szCs w:val="24"/>
          <w:highlight w:val="none"/>
        </w:rPr>
      </w:pPr>
      <w:r>
        <w:rPr>
          <w:rFonts w:ascii="Times New Roman" w:hAnsi="Times New Roman" w:eastAsia="宋体" w:cs="Times New Roman"/>
          <w:b w:val="0"/>
          <w:bCs w:val="0"/>
          <w:snapToGrid w:val="0"/>
          <w:color w:val="auto"/>
          <w:spacing w:val="-3"/>
          <w:kern w:val="0"/>
          <w:sz w:val="24"/>
          <w:szCs w:val="24"/>
          <w:highlight w:val="none"/>
        </w:rPr>
        <w:t>（3）磷酸氢二钾溶液（0.2 mol/L）：称取 34.80 g 分析纯的磷酸氢二钾，用蒸馏水溶解</w:t>
      </w:r>
      <w:r>
        <w:rPr>
          <w:rFonts w:hint="eastAsia" w:ascii="Times New Roman" w:hAnsi="Times New Roman" w:eastAsia="宋体" w:cs="Times New Roman"/>
          <w:b w:val="0"/>
          <w:bCs w:val="0"/>
          <w:snapToGrid w:val="0"/>
          <w:color w:val="auto"/>
          <w:spacing w:val="-3"/>
          <w:kern w:val="0"/>
          <w:sz w:val="24"/>
          <w:szCs w:val="24"/>
          <w:highlight w:val="none"/>
        </w:rPr>
        <w:t>，</w:t>
      </w:r>
      <w:r>
        <w:rPr>
          <w:rFonts w:ascii="Times New Roman" w:hAnsi="Times New Roman" w:eastAsia="宋体" w:cs="Times New Roman"/>
          <w:b w:val="0"/>
          <w:bCs w:val="0"/>
          <w:snapToGrid w:val="0"/>
          <w:color w:val="auto"/>
          <w:spacing w:val="-3"/>
          <w:kern w:val="0"/>
          <w:sz w:val="24"/>
          <w:szCs w:val="24"/>
          <w:highlight w:val="none"/>
        </w:rPr>
        <w:t>定容至1L。</w:t>
      </w:r>
    </w:p>
    <w:p w14:paraId="38BC5080">
      <w:pPr>
        <w:keepNext w:val="0"/>
        <w:keepLines w:val="0"/>
        <w:pageBreakBefore w:val="0"/>
        <w:widowControl/>
        <w:kinsoku w:val="0"/>
        <w:wordWrap/>
        <w:overflowPunct/>
        <w:topLinePunct w:val="0"/>
        <w:autoSpaceDE w:val="0"/>
        <w:autoSpaceDN w:val="0"/>
        <w:bidi w:val="0"/>
        <w:adjustRightInd w:val="0"/>
        <w:snapToGrid w:val="0"/>
        <w:spacing w:line="360" w:lineRule="auto"/>
        <w:ind w:firstLine="456" w:firstLineChars="200"/>
        <w:jc w:val="left"/>
        <w:textAlignment w:val="baseline"/>
        <w:rPr>
          <w:rFonts w:hint="eastAsia" w:ascii="Times New Roman" w:hAnsi="Times New Roman" w:eastAsia="宋体" w:cs="Times New Roman"/>
          <w:b w:val="0"/>
          <w:bCs w:val="0"/>
          <w:snapToGrid w:val="0"/>
          <w:color w:val="auto"/>
          <w:kern w:val="0"/>
          <w:sz w:val="24"/>
          <w:szCs w:val="24"/>
          <w:highlight w:val="none"/>
        </w:rPr>
      </w:pPr>
      <w:r>
        <w:rPr>
          <w:rFonts w:ascii="Times New Roman" w:hAnsi="Times New Roman" w:eastAsia="宋体" w:cs="Times New Roman"/>
          <w:b w:val="0"/>
          <w:bCs w:val="0"/>
          <w:snapToGrid w:val="0"/>
          <w:color w:val="auto"/>
          <w:spacing w:val="-6"/>
          <w:kern w:val="0"/>
          <w:sz w:val="24"/>
          <w:szCs w:val="24"/>
          <w:highlight w:val="none"/>
        </w:rPr>
        <w:t>（4）贮备液A</w:t>
      </w:r>
      <w:r>
        <w:rPr>
          <w:rFonts w:ascii="Times New Roman" w:hAnsi="Times New Roman" w:eastAsia="宋体" w:cs="Times New Roman"/>
          <w:b w:val="0"/>
          <w:bCs w:val="0"/>
          <w:snapToGrid w:val="0"/>
          <w:color w:val="auto"/>
          <w:spacing w:val="6"/>
          <w:kern w:val="0"/>
          <w:sz w:val="24"/>
          <w:szCs w:val="24"/>
          <w:highlight w:val="none"/>
        </w:rPr>
        <w:t xml:space="preserve">：量取28 ml </w:t>
      </w:r>
      <w:r>
        <w:rPr>
          <w:rFonts w:ascii="Times New Roman" w:hAnsi="Times New Roman" w:eastAsia="宋体" w:cs="Times New Roman"/>
          <w:b w:val="0"/>
          <w:bCs w:val="0"/>
          <w:snapToGrid w:val="0"/>
          <w:color w:val="auto"/>
          <w:spacing w:val="-3"/>
          <w:kern w:val="0"/>
          <w:sz w:val="24"/>
          <w:szCs w:val="24"/>
          <w:highlight w:val="none"/>
        </w:rPr>
        <w:t>磷酸二氢钾溶液（2）和</w:t>
      </w:r>
      <w:r>
        <w:rPr>
          <w:rFonts w:ascii="Times New Roman" w:hAnsi="Times New Roman" w:eastAsia="宋体" w:cs="Times New Roman"/>
          <w:b w:val="0"/>
          <w:bCs w:val="0"/>
          <w:snapToGrid w:val="0"/>
          <w:color w:val="auto"/>
          <w:spacing w:val="6"/>
          <w:kern w:val="0"/>
          <w:sz w:val="24"/>
          <w:szCs w:val="24"/>
          <w:highlight w:val="none"/>
        </w:rPr>
        <w:t>72 ml</w:t>
      </w:r>
      <w:r>
        <w:rPr>
          <w:rFonts w:ascii="Times New Roman" w:hAnsi="Times New Roman" w:eastAsia="宋体" w:cs="Times New Roman"/>
          <w:b w:val="0"/>
          <w:bCs w:val="0"/>
          <w:snapToGrid w:val="0"/>
          <w:color w:val="auto"/>
          <w:spacing w:val="-3"/>
          <w:kern w:val="0"/>
          <w:sz w:val="24"/>
          <w:szCs w:val="24"/>
          <w:highlight w:val="none"/>
        </w:rPr>
        <w:t>磷酸二氢钾溶液（3）至烧杯中，再加100 ml 蒸馏水混匀</w:t>
      </w:r>
      <w:r>
        <w:rPr>
          <w:rFonts w:ascii="Times New Roman" w:hAnsi="Times New Roman" w:eastAsia="宋体" w:cs="Times New Roman"/>
          <w:b w:val="0"/>
          <w:bCs w:val="0"/>
          <w:snapToGrid w:val="0"/>
          <w:color w:val="auto"/>
          <w:spacing w:val="1"/>
          <w:kern w:val="0"/>
          <w:sz w:val="24"/>
          <w:szCs w:val="24"/>
          <w:highlight w:val="none"/>
        </w:rPr>
        <w:t>。</w:t>
      </w:r>
    </w:p>
    <w:p w14:paraId="10AEAD1B">
      <w:pPr>
        <w:keepNext w:val="0"/>
        <w:keepLines w:val="0"/>
        <w:pageBreakBefore w:val="0"/>
        <w:widowControl/>
        <w:kinsoku w:val="0"/>
        <w:wordWrap/>
        <w:overflowPunct/>
        <w:topLinePunct w:val="0"/>
        <w:autoSpaceDE w:val="0"/>
        <w:autoSpaceDN w:val="0"/>
        <w:bidi w:val="0"/>
        <w:adjustRightInd w:val="0"/>
        <w:snapToGrid w:val="0"/>
        <w:spacing w:line="360" w:lineRule="auto"/>
        <w:ind w:firstLine="456" w:firstLineChars="200"/>
        <w:jc w:val="left"/>
        <w:textAlignment w:val="baseline"/>
        <w:rPr>
          <w:rFonts w:ascii="Times New Roman" w:hAnsi="Times New Roman" w:eastAsia="宋体" w:cs="Times New Roman"/>
          <w:b w:val="0"/>
          <w:bCs w:val="0"/>
          <w:snapToGrid w:val="0"/>
          <w:color w:val="auto"/>
          <w:spacing w:val="1"/>
          <w:kern w:val="0"/>
          <w:sz w:val="24"/>
          <w:szCs w:val="24"/>
          <w:highlight w:val="none"/>
        </w:rPr>
      </w:pPr>
      <w:r>
        <w:rPr>
          <w:rFonts w:ascii="Times New Roman" w:hAnsi="Times New Roman" w:eastAsia="宋体" w:cs="Times New Roman"/>
          <w:b w:val="0"/>
          <w:bCs w:val="0"/>
          <w:snapToGrid w:val="0"/>
          <w:color w:val="auto"/>
          <w:spacing w:val="-6"/>
          <w:kern w:val="0"/>
          <w:sz w:val="24"/>
          <w:szCs w:val="24"/>
          <w:highlight w:val="none"/>
        </w:rPr>
        <w:t>（5）氯酸钠溶液</w:t>
      </w:r>
      <w:r>
        <w:rPr>
          <w:rFonts w:ascii="Times New Roman" w:hAnsi="Times New Roman" w:eastAsia="宋体" w:cs="Times New Roman"/>
          <w:b w:val="0"/>
          <w:bCs w:val="0"/>
          <w:snapToGrid w:val="0"/>
          <w:color w:val="auto"/>
          <w:spacing w:val="6"/>
          <w:kern w:val="0"/>
          <w:sz w:val="24"/>
          <w:szCs w:val="24"/>
          <w:highlight w:val="none"/>
        </w:rPr>
        <w:t>（0.5 mol/L）：</w:t>
      </w:r>
      <w:r>
        <w:rPr>
          <w:rFonts w:ascii="Times New Roman" w:hAnsi="Times New Roman" w:eastAsia="宋体" w:cs="Times New Roman"/>
          <w:b w:val="0"/>
          <w:bCs w:val="0"/>
          <w:snapToGrid w:val="0"/>
          <w:color w:val="auto"/>
          <w:spacing w:val="1"/>
          <w:kern w:val="0"/>
          <w:sz w:val="24"/>
          <w:szCs w:val="24"/>
          <w:highlight w:val="none"/>
        </w:rPr>
        <w:t>称取5</w:t>
      </w:r>
      <w:r>
        <w:rPr>
          <w:rFonts w:hint="eastAsia" w:ascii="Times New Roman" w:hAnsi="Times New Roman" w:eastAsia="宋体" w:cs="Times New Roman"/>
          <w:b w:val="0"/>
          <w:bCs w:val="0"/>
          <w:snapToGrid w:val="0"/>
          <w:color w:val="auto"/>
          <w:spacing w:val="1"/>
          <w:kern w:val="0"/>
          <w:sz w:val="24"/>
          <w:szCs w:val="24"/>
          <w:highlight w:val="none"/>
          <w:lang w:val="en-US" w:eastAsia="zh-CN"/>
        </w:rPr>
        <w:t>.</w:t>
      </w:r>
      <w:r>
        <w:rPr>
          <w:rFonts w:ascii="Times New Roman" w:hAnsi="Times New Roman" w:eastAsia="宋体" w:cs="Times New Roman"/>
          <w:b w:val="0"/>
          <w:bCs w:val="0"/>
          <w:snapToGrid w:val="0"/>
          <w:color w:val="auto"/>
          <w:spacing w:val="1"/>
          <w:kern w:val="0"/>
          <w:sz w:val="24"/>
          <w:szCs w:val="24"/>
          <w:highlight w:val="none"/>
        </w:rPr>
        <w:t>322 g 分析</w:t>
      </w:r>
      <w:r>
        <w:rPr>
          <w:rFonts w:ascii="Times New Roman" w:hAnsi="Times New Roman" w:eastAsia="宋体" w:cs="Times New Roman"/>
          <w:b w:val="0"/>
          <w:bCs w:val="0"/>
          <w:snapToGrid w:val="0"/>
          <w:color w:val="auto"/>
          <w:spacing w:val="6"/>
          <w:kern w:val="0"/>
          <w:sz w:val="24"/>
          <w:szCs w:val="24"/>
          <w:highlight w:val="none"/>
        </w:rPr>
        <w:t>纯氯酸钠，用蒸馏水稀释定容至</w:t>
      </w:r>
      <w:r>
        <w:rPr>
          <w:rFonts w:ascii="Times New Roman" w:hAnsi="Times New Roman" w:eastAsia="宋体" w:cs="Times New Roman"/>
          <w:b w:val="0"/>
          <w:bCs w:val="0"/>
          <w:snapToGrid w:val="0"/>
          <w:color w:val="auto"/>
          <w:spacing w:val="-27"/>
          <w:kern w:val="0"/>
          <w:sz w:val="24"/>
          <w:szCs w:val="24"/>
          <w:highlight w:val="none"/>
        </w:rPr>
        <w:t xml:space="preserve"> </w:t>
      </w:r>
      <w:r>
        <w:rPr>
          <w:rFonts w:ascii="Times New Roman" w:hAnsi="Times New Roman" w:eastAsia="宋体" w:cs="Times New Roman"/>
          <w:b w:val="0"/>
          <w:bCs w:val="0"/>
          <w:snapToGrid w:val="0"/>
          <w:color w:val="auto"/>
          <w:spacing w:val="1"/>
          <w:kern w:val="0"/>
          <w:sz w:val="24"/>
          <w:szCs w:val="24"/>
          <w:highlight w:val="none"/>
        </w:rPr>
        <w:t>10</w:t>
      </w:r>
      <w:r>
        <w:rPr>
          <w:rFonts w:hint="eastAsia" w:ascii="Times New Roman" w:hAnsi="Times New Roman" w:eastAsia="宋体" w:cs="Times New Roman"/>
          <w:b w:val="0"/>
          <w:bCs w:val="0"/>
          <w:snapToGrid w:val="0"/>
          <w:color w:val="auto"/>
          <w:spacing w:val="1"/>
          <w:kern w:val="0"/>
          <w:sz w:val="24"/>
          <w:szCs w:val="24"/>
          <w:highlight w:val="none"/>
          <w:lang w:val="en-US" w:eastAsia="zh-CN"/>
        </w:rPr>
        <w:t xml:space="preserve">0 </w:t>
      </w:r>
      <w:r>
        <w:rPr>
          <w:rFonts w:ascii="Times New Roman" w:hAnsi="Times New Roman" w:eastAsia="宋体" w:cs="Times New Roman"/>
          <w:b w:val="0"/>
          <w:bCs w:val="0"/>
          <w:snapToGrid w:val="0"/>
          <w:color w:val="auto"/>
          <w:spacing w:val="1"/>
          <w:kern w:val="0"/>
          <w:sz w:val="24"/>
          <w:szCs w:val="24"/>
          <w:highlight w:val="none"/>
        </w:rPr>
        <w:t>mL。</w:t>
      </w:r>
    </w:p>
    <w:p w14:paraId="060A2036">
      <w:pPr>
        <w:keepNext w:val="0"/>
        <w:keepLines w:val="0"/>
        <w:pageBreakBefore w:val="0"/>
        <w:widowControl/>
        <w:kinsoku w:val="0"/>
        <w:wordWrap/>
        <w:overflowPunct/>
        <w:topLinePunct w:val="0"/>
        <w:autoSpaceDE w:val="0"/>
        <w:autoSpaceDN w:val="0"/>
        <w:bidi w:val="0"/>
        <w:adjustRightInd w:val="0"/>
        <w:snapToGrid w:val="0"/>
        <w:spacing w:line="360" w:lineRule="auto"/>
        <w:ind w:firstLine="484" w:firstLineChars="200"/>
        <w:jc w:val="left"/>
        <w:textAlignment w:val="baseline"/>
        <w:rPr>
          <w:rFonts w:hint="default" w:ascii="Times New Roman" w:hAnsi="Times New Roman" w:eastAsia="宋体" w:cs="Times New Roman"/>
          <w:b w:val="0"/>
          <w:bCs w:val="0"/>
          <w:snapToGrid w:val="0"/>
          <w:color w:val="auto"/>
          <w:spacing w:val="-6"/>
          <w:kern w:val="0"/>
          <w:sz w:val="24"/>
          <w:szCs w:val="24"/>
          <w:highlight w:val="none"/>
          <w:lang w:val="en-US" w:eastAsia="zh-CN"/>
        </w:rPr>
      </w:pPr>
      <w:r>
        <w:rPr>
          <w:rFonts w:ascii="Times New Roman" w:hAnsi="Times New Roman" w:eastAsia="宋体" w:cs="Times New Roman"/>
          <w:b w:val="0"/>
          <w:bCs w:val="0"/>
          <w:snapToGrid w:val="0"/>
          <w:color w:val="auto"/>
          <w:spacing w:val="1"/>
          <w:kern w:val="0"/>
          <w:sz w:val="24"/>
          <w:szCs w:val="24"/>
          <w:highlight w:val="none"/>
        </w:rPr>
        <w:t>（6）培养介质溶液：量取</w:t>
      </w:r>
      <w:r>
        <w:rPr>
          <w:rFonts w:ascii="Times New Roman" w:hAnsi="Times New Roman" w:eastAsia="宋体" w:cs="Times New Roman"/>
          <w:b w:val="0"/>
          <w:bCs w:val="0"/>
          <w:snapToGrid w:val="0"/>
          <w:color w:val="auto"/>
          <w:spacing w:val="-6"/>
          <w:kern w:val="0"/>
          <w:sz w:val="24"/>
          <w:szCs w:val="24"/>
          <w:highlight w:val="none"/>
        </w:rPr>
        <w:t>贮备液A 10 ml和氯酸钠溶液10-30 ml，溶解于800 ml水中，加入</w:t>
      </w:r>
      <w:r>
        <w:rPr>
          <w:rFonts w:hint="eastAsia" w:ascii="Times New Roman" w:hAnsi="Times New Roman" w:eastAsia="宋体" w:cs="Times New Roman"/>
          <w:b w:val="0"/>
          <w:bCs w:val="0"/>
          <w:snapToGrid w:val="0"/>
          <w:color w:val="auto"/>
          <w:spacing w:val="-6"/>
          <w:kern w:val="0"/>
          <w:sz w:val="24"/>
          <w:szCs w:val="24"/>
          <w:highlight w:val="none"/>
        </w:rPr>
        <w:t>3</w:t>
      </w:r>
      <w:r>
        <w:rPr>
          <w:rFonts w:ascii="Times New Roman" w:hAnsi="Times New Roman" w:eastAsia="宋体" w:cs="Times New Roman"/>
          <w:b w:val="0"/>
          <w:bCs w:val="0"/>
          <w:snapToGrid w:val="0"/>
          <w:color w:val="auto"/>
          <w:spacing w:val="-6"/>
          <w:kern w:val="0"/>
          <w:sz w:val="24"/>
          <w:szCs w:val="24"/>
          <w:highlight w:val="none"/>
        </w:rPr>
        <w:t>0 ml 肥料工作液，再用蒸馏水定容至1</w:t>
      </w:r>
      <w:r>
        <w:rPr>
          <w:rFonts w:hint="eastAsia" w:ascii="Times New Roman" w:hAnsi="Times New Roman" w:eastAsia="宋体" w:cs="Times New Roman"/>
          <w:b w:val="0"/>
          <w:bCs w:val="0"/>
          <w:snapToGrid w:val="0"/>
          <w:color w:val="auto"/>
          <w:spacing w:val="-6"/>
          <w:kern w:val="0"/>
          <w:sz w:val="24"/>
          <w:szCs w:val="24"/>
          <w:highlight w:val="none"/>
          <w:lang w:val="en-US" w:eastAsia="zh-CN"/>
        </w:rPr>
        <w:t xml:space="preserve"> </w:t>
      </w:r>
      <w:r>
        <w:rPr>
          <w:rFonts w:ascii="Times New Roman" w:hAnsi="Times New Roman" w:eastAsia="宋体" w:cs="Times New Roman"/>
          <w:b w:val="0"/>
          <w:bCs w:val="0"/>
          <w:snapToGrid w:val="0"/>
          <w:color w:val="auto"/>
          <w:spacing w:val="-6"/>
          <w:kern w:val="0"/>
          <w:sz w:val="24"/>
          <w:szCs w:val="24"/>
          <w:highlight w:val="none"/>
        </w:rPr>
        <w:t>L。该培养介质包含1mmol/L的磷酸钾缓冲溶液、5-15 mmol/L的氯酸钠溶液和42 mg /L的氮溶液。</w:t>
      </w:r>
      <w:r>
        <w:rPr>
          <w:rFonts w:hint="eastAsia" w:ascii="Times New Roman" w:hAnsi="Times New Roman" w:eastAsia="宋体" w:cs="Times New Roman"/>
          <w:b w:val="0"/>
          <w:bCs w:val="0"/>
          <w:snapToGrid w:val="0"/>
          <w:color w:val="auto"/>
          <w:spacing w:val="-6"/>
          <w:kern w:val="0"/>
          <w:sz w:val="24"/>
          <w:szCs w:val="24"/>
          <w:highlight w:val="none"/>
          <w:lang w:val="en-US" w:eastAsia="zh-CN"/>
        </w:rPr>
        <w:t>同时配置不含肥料工作溶液的空白介质溶液。</w:t>
      </w:r>
    </w:p>
    <w:p w14:paraId="0A811921">
      <w:pPr>
        <w:keepNext w:val="0"/>
        <w:keepLines w:val="0"/>
        <w:pageBreakBefore w:val="0"/>
        <w:widowControl/>
        <w:numPr>
          <w:ilvl w:val="0"/>
          <w:numId w:val="8"/>
        </w:numPr>
        <w:kinsoku w:val="0"/>
        <w:wordWrap/>
        <w:overflowPunct/>
        <w:topLinePunct w:val="0"/>
        <w:autoSpaceDE w:val="0"/>
        <w:autoSpaceDN w:val="0"/>
        <w:bidi w:val="0"/>
        <w:adjustRightInd w:val="0"/>
        <w:snapToGrid w:val="0"/>
        <w:spacing w:line="360" w:lineRule="auto"/>
        <w:ind w:firstLine="484" w:firstLineChars="200"/>
        <w:jc w:val="left"/>
        <w:textAlignment w:val="baseline"/>
        <w:rPr>
          <w:rFonts w:ascii="Times New Roman" w:hAnsi="Times New Roman" w:eastAsia="宋体" w:cs="Times New Roman"/>
          <w:b w:val="0"/>
          <w:bCs w:val="0"/>
          <w:snapToGrid w:val="0"/>
          <w:color w:val="auto"/>
          <w:spacing w:val="1"/>
          <w:kern w:val="0"/>
          <w:sz w:val="24"/>
          <w:szCs w:val="24"/>
          <w:highlight w:val="none"/>
        </w:rPr>
      </w:pPr>
      <w:r>
        <w:rPr>
          <w:rFonts w:ascii="Times New Roman" w:hAnsi="Times New Roman" w:eastAsia="宋体" w:cs="Times New Roman"/>
          <w:b w:val="0"/>
          <w:bCs w:val="0"/>
          <w:snapToGrid w:val="0"/>
          <w:color w:val="auto"/>
          <w:spacing w:val="1"/>
          <w:kern w:val="0"/>
          <w:sz w:val="24"/>
          <w:szCs w:val="24"/>
          <w:highlight w:val="none"/>
        </w:rPr>
        <w:t>氯化钾溶液（</w:t>
      </w:r>
      <w:r>
        <w:rPr>
          <w:rFonts w:hint="eastAsia" w:ascii="Times New Roman" w:hAnsi="Times New Roman" w:eastAsia="宋体" w:cs="Times New Roman"/>
          <w:b w:val="0"/>
          <w:bCs w:val="0"/>
          <w:snapToGrid w:val="0"/>
          <w:color w:val="auto"/>
          <w:spacing w:val="1"/>
          <w:kern w:val="0"/>
          <w:sz w:val="24"/>
          <w:szCs w:val="24"/>
          <w:highlight w:val="none"/>
          <w:lang w:val="en-US" w:eastAsia="zh-CN"/>
        </w:rPr>
        <w:t>2</w:t>
      </w:r>
      <w:r>
        <w:rPr>
          <w:rFonts w:ascii="Times New Roman" w:hAnsi="Times New Roman" w:eastAsia="宋体" w:cs="Times New Roman"/>
          <w:b w:val="0"/>
          <w:bCs w:val="0"/>
          <w:snapToGrid w:val="0"/>
          <w:color w:val="auto"/>
          <w:spacing w:val="25"/>
          <w:kern w:val="0"/>
          <w:sz w:val="24"/>
          <w:szCs w:val="24"/>
          <w:highlight w:val="none"/>
        </w:rPr>
        <w:t xml:space="preserve"> </w:t>
      </w:r>
      <w:r>
        <w:rPr>
          <w:rFonts w:ascii="Times New Roman" w:hAnsi="Times New Roman" w:eastAsia="宋体" w:cs="Times New Roman"/>
          <w:b w:val="0"/>
          <w:bCs w:val="0"/>
          <w:snapToGrid w:val="0"/>
          <w:color w:val="auto"/>
          <w:kern w:val="0"/>
          <w:sz w:val="24"/>
          <w:szCs w:val="24"/>
          <w:highlight w:val="none"/>
        </w:rPr>
        <w:t>mol</w:t>
      </w:r>
      <w:r>
        <w:rPr>
          <w:rFonts w:ascii="Times New Roman" w:hAnsi="Times New Roman" w:eastAsia="宋体" w:cs="Times New Roman"/>
          <w:b w:val="0"/>
          <w:bCs w:val="0"/>
          <w:snapToGrid w:val="0"/>
          <w:color w:val="auto"/>
          <w:spacing w:val="1"/>
          <w:kern w:val="0"/>
          <w:sz w:val="24"/>
          <w:szCs w:val="24"/>
          <w:highlight w:val="none"/>
        </w:rPr>
        <w:t>/L）：称取</w:t>
      </w:r>
      <w:r>
        <w:rPr>
          <w:rFonts w:hint="eastAsia" w:ascii="Times New Roman" w:hAnsi="Times New Roman" w:eastAsia="宋体" w:cs="Times New Roman"/>
          <w:b w:val="0"/>
          <w:bCs w:val="0"/>
          <w:snapToGrid w:val="0"/>
          <w:color w:val="auto"/>
          <w:spacing w:val="1"/>
          <w:kern w:val="0"/>
          <w:sz w:val="24"/>
          <w:szCs w:val="24"/>
          <w:highlight w:val="none"/>
          <w:lang w:val="en-US" w:eastAsia="zh-CN"/>
        </w:rPr>
        <w:t xml:space="preserve">149.1 </w:t>
      </w:r>
      <w:r>
        <w:rPr>
          <w:rFonts w:ascii="Times New Roman" w:hAnsi="Times New Roman" w:eastAsia="宋体" w:cs="Times New Roman"/>
          <w:b w:val="0"/>
          <w:bCs w:val="0"/>
          <w:snapToGrid w:val="0"/>
          <w:color w:val="auto"/>
          <w:spacing w:val="1"/>
          <w:kern w:val="0"/>
          <w:sz w:val="24"/>
          <w:szCs w:val="24"/>
          <w:highlight w:val="none"/>
        </w:rPr>
        <w:t>g</w:t>
      </w:r>
      <w:r>
        <w:rPr>
          <w:rFonts w:ascii="Times New Roman" w:hAnsi="Times New Roman" w:eastAsia="宋体" w:cs="Times New Roman"/>
          <w:b w:val="0"/>
          <w:bCs w:val="0"/>
          <w:snapToGrid w:val="0"/>
          <w:color w:val="auto"/>
          <w:spacing w:val="-19"/>
          <w:kern w:val="0"/>
          <w:sz w:val="24"/>
          <w:szCs w:val="24"/>
          <w:highlight w:val="none"/>
        </w:rPr>
        <w:t xml:space="preserve"> </w:t>
      </w:r>
      <w:r>
        <w:rPr>
          <w:rFonts w:ascii="Times New Roman" w:hAnsi="Times New Roman" w:eastAsia="宋体" w:cs="Times New Roman"/>
          <w:b w:val="0"/>
          <w:bCs w:val="0"/>
          <w:snapToGrid w:val="0"/>
          <w:color w:val="auto"/>
          <w:spacing w:val="1"/>
          <w:kern w:val="0"/>
          <w:sz w:val="24"/>
          <w:szCs w:val="24"/>
          <w:highlight w:val="none"/>
        </w:rPr>
        <w:t>分</w:t>
      </w:r>
      <w:r>
        <w:rPr>
          <w:rFonts w:ascii="Times New Roman" w:hAnsi="Times New Roman" w:eastAsia="宋体" w:cs="Times New Roman"/>
          <w:b w:val="0"/>
          <w:bCs w:val="0"/>
          <w:snapToGrid w:val="0"/>
          <w:color w:val="auto"/>
          <w:spacing w:val="6"/>
          <w:kern w:val="0"/>
          <w:sz w:val="24"/>
          <w:szCs w:val="24"/>
          <w:highlight w:val="none"/>
        </w:rPr>
        <w:t>析纯氯化钾, 用蒸馏水稀释定容至</w:t>
      </w:r>
      <w:r>
        <w:rPr>
          <w:rFonts w:ascii="Times New Roman" w:hAnsi="Times New Roman" w:eastAsia="宋体" w:cs="Times New Roman"/>
          <w:b w:val="0"/>
          <w:bCs w:val="0"/>
          <w:snapToGrid w:val="0"/>
          <w:color w:val="auto"/>
          <w:spacing w:val="-27"/>
          <w:kern w:val="0"/>
          <w:sz w:val="24"/>
          <w:szCs w:val="24"/>
          <w:highlight w:val="none"/>
        </w:rPr>
        <w:t xml:space="preserve"> </w:t>
      </w:r>
      <w:r>
        <w:rPr>
          <w:rFonts w:ascii="Times New Roman" w:hAnsi="Times New Roman" w:eastAsia="宋体" w:cs="Times New Roman"/>
          <w:b w:val="0"/>
          <w:bCs w:val="0"/>
          <w:snapToGrid w:val="0"/>
          <w:color w:val="auto"/>
          <w:spacing w:val="1"/>
          <w:kern w:val="0"/>
          <w:sz w:val="24"/>
          <w:szCs w:val="24"/>
          <w:highlight w:val="none"/>
        </w:rPr>
        <w:t>1</w:t>
      </w:r>
      <w:r>
        <w:rPr>
          <w:rFonts w:ascii="Times New Roman" w:hAnsi="Times New Roman" w:eastAsia="宋体" w:cs="Times New Roman"/>
          <w:b w:val="0"/>
          <w:bCs w:val="0"/>
          <w:snapToGrid w:val="0"/>
          <w:color w:val="auto"/>
          <w:spacing w:val="-51"/>
          <w:kern w:val="0"/>
          <w:sz w:val="24"/>
          <w:szCs w:val="24"/>
          <w:highlight w:val="none"/>
        </w:rPr>
        <w:t xml:space="preserve"> </w:t>
      </w:r>
      <w:r>
        <w:rPr>
          <w:rFonts w:ascii="Times New Roman" w:hAnsi="Times New Roman" w:eastAsia="宋体" w:cs="Times New Roman"/>
          <w:b w:val="0"/>
          <w:bCs w:val="0"/>
          <w:snapToGrid w:val="0"/>
          <w:color w:val="auto"/>
          <w:spacing w:val="1"/>
          <w:kern w:val="0"/>
          <w:sz w:val="24"/>
          <w:szCs w:val="24"/>
          <w:highlight w:val="none"/>
        </w:rPr>
        <w:t>L。</w:t>
      </w:r>
    </w:p>
    <w:p w14:paraId="3BC3052F">
      <w:pPr>
        <w:keepNext w:val="0"/>
        <w:keepLines w:val="0"/>
        <w:pageBreakBefore w:val="0"/>
        <w:widowControl/>
        <w:kinsoku w:val="0"/>
        <w:wordWrap/>
        <w:overflowPunct/>
        <w:topLinePunct w:val="0"/>
        <w:autoSpaceDE w:val="0"/>
        <w:autoSpaceDN w:val="0"/>
        <w:bidi w:val="0"/>
        <w:adjustRightInd w:val="0"/>
        <w:snapToGrid w:val="0"/>
        <w:spacing w:line="360" w:lineRule="auto"/>
        <w:ind w:firstLine="456" w:firstLineChars="200"/>
        <w:jc w:val="left"/>
        <w:textAlignment w:val="baseline"/>
        <w:rPr>
          <w:rFonts w:ascii="Times New Roman" w:hAnsi="Times New Roman" w:eastAsia="宋体" w:cs="Times New Roman"/>
          <w:b w:val="0"/>
          <w:bCs w:val="0"/>
          <w:snapToGrid w:val="0"/>
          <w:color w:val="auto"/>
          <w:spacing w:val="-6"/>
          <w:kern w:val="0"/>
          <w:sz w:val="24"/>
          <w:szCs w:val="24"/>
          <w:highlight w:val="none"/>
        </w:rPr>
      </w:pPr>
      <w:r>
        <w:rPr>
          <w:rFonts w:ascii="Times New Roman" w:hAnsi="Times New Roman" w:eastAsia="宋体" w:cs="Times New Roman"/>
          <w:b w:val="0"/>
          <w:bCs w:val="0"/>
          <w:snapToGrid w:val="0"/>
          <w:color w:val="auto"/>
          <w:spacing w:val="-6"/>
          <w:kern w:val="0"/>
          <w:sz w:val="24"/>
          <w:szCs w:val="24"/>
          <w:highlight w:val="none"/>
        </w:rPr>
        <w:t>（</w:t>
      </w:r>
      <w:r>
        <w:rPr>
          <w:rFonts w:hint="eastAsia" w:ascii="Times New Roman" w:hAnsi="Times New Roman" w:eastAsia="宋体" w:cs="Times New Roman"/>
          <w:b w:val="0"/>
          <w:bCs w:val="0"/>
          <w:snapToGrid w:val="0"/>
          <w:color w:val="auto"/>
          <w:spacing w:val="-6"/>
          <w:kern w:val="0"/>
          <w:sz w:val="24"/>
          <w:szCs w:val="24"/>
          <w:highlight w:val="none"/>
          <w:lang w:val="en-US" w:eastAsia="zh-CN"/>
        </w:rPr>
        <w:t>8</w:t>
      </w:r>
      <w:r>
        <w:rPr>
          <w:rFonts w:ascii="Times New Roman" w:hAnsi="Times New Roman" w:eastAsia="宋体" w:cs="Times New Roman"/>
          <w:b w:val="0"/>
          <w:bCs w:val="0"/>
          <w:snapToGrid w:val="0"/>
          <w:color w:val="auto"/>
          <w:spacing w:val="-6"/>
          <w:kern w:val="0"/>
          <w:sz w:val="24"/>
          <w:szCs w:val="24"/>
          <w:highlight w:val="none"/>
        </w:rPr>
        <w:t>）亚硝态氮标准</w:t>
      </w:r>
      <w:r>
        <w:rPr>
          <w:rFonts w:ascii="Times New Roman" w:hAnsi="Times New Roman" w:eastAsia="宋体" w:cs="Times New Roman"/>
          <w:b w:val="0"/>
          <w:bCs w:val="0"/>
          <w:color w:val="auto"/>
          <w:sz w:val="24"/>
          <w:szCs w:val="24"/>
          <w:highlight w:val="none"/>
        </w:rPr>
        <w:t>贮备</w:t>
      </w:r>
      <w:r>
        <w:rPr>
          <w:rFonts w:ascii="Times New Roman" w:hAnsi="Times New Roman" w:eastAsia="宋体" w:cs="Times New Roman"/>
          <w:b w:val="0"/>
          <w:bCs w:val="0"/>
          <w:snapToGrid w:val="0"/>
          <w:color w:val="auto"/>
          <w:spacing w:val="-6"/>
          <w:kern w:val="0"/>
          <w:sz w:val="24"/>
          <w:szCs w:val="24"/>
          <w:highlight w:val="none"/>
        </w:rPr>
        <w:t>溶液（1</w:t>
      </w:r>
      <w:r>
        <w:rPr>
          <w:rFonts w:hint="eastAsia" w:ascii="Times New Roman" w:hAnsi="Times New Roman" w:eastAsia="宋体" w:cs="Times New Roman"/>
          <w:b w:val="0"/>
          <w:bCs w:val="0"/>
          <w:snapToGrid w:val="0"/>
          <w:color w:val="auto"/>
          <w:spacing w:val="-6"/>
          <w:kern w:val="0"/>
          <w:sz w:val="24"/>
          <w:szCs w:val="24"/>
          <w:highlight w:val="none"/>
          <w:lang w:val="en-US" w:eastAsia="zh-CN"/>
        </w:rPr>
        <w:t xml:space="preserve"> </w:t>
      </w:r>
      <w:r>
        <w:rPr>
          <w:rFonts w:ascii="Times New Roman" w:hAnsi="Times New Roman" w:eastAsia="宋体" w:cs="Times New Roman"/>
          <w:b w:val="0"/>
          <w:bCs w:val="0"/>
          <w:snapToGrid w:val="0"/>
          <w:color w:val="auto"/>
          <w:spacing w:val="-6"/>
          <w:kern w:val="0"/>
          <w:sz w:val="24"/>
          <w:szCs w:val="24"/>
          <w:highlight w:val="none"/>
        </w:rPr>
        <w:t>g/L）：称取0.4926g 亚硝酸钠（分析纯）溶解于50 mL水中，定容至100 ml，4℃冰箱中避光保存，可放置6个月。</w:t>
      </w:r>
    </w:p>
    <w:p w14:paraId="634AAFB2">
      <w:pPr>
        <w:keepNext w:val="0"/>
        <w:keepLines w:val="0"/>
        <w:pageBreakBefore w:val="0"/>
        <w:widowControl/>
        <w:kinsoku w:val="0"/>
        <w:wordWrap/>
        <w:overflowPunct/>
        <w:topLinePunct w:val="0"/>
        <w:autoSpaceDE w:val="0"/>
        <w:autoSpaceDN w:val="0"/>
        <w:bidi w:val="0"/>
        <w:adjustRightInd w:val="0"/>
        <w:snapToGrid w:val="0"/>
        <w:spacing w:line="360" w:lineRule="auto"/>
        <w:ind w:firstLine="456" w:firstLineChars="200"/>
        <w:jc w:val="left"/>
        <w:textAlignment w:val="baseline"/>
        <w:rPr>
          <w:rFonts w:ascii="Times New Roman" w:hAnsi="Times New Roman" w:eastAsia="宋体" w:cs="Times New Roman"/>
          <w:b w:val="0"/>
          <w:bCs w:val="0"/>
          <w:color w:val="auto"/>
          <w:sz w:val="24"/>
          <w:szCs w:val="24"/>
          <w:highlight w:val="none"/>
        </w:rPr>
      </w:pPr>
      <w:r>
        <w:rPr>
          <w:rFonts w:ascii="Times New Roman" w:hAnsi="Times New Roman" w:eastAsia="宋体" w:cs="Times New Roman"/>
          <w:b w:val="0"/>
          <w:bCs w:val="0"/>
          <w:snapToGrid w:val="0"/>
          <w:color w:val="auto"/>
          <w:spacing w:val="-6"/>
          <w:kern w:val="0"/>
          <w:sz w:val="24"/>
          <w:szCs w:val="24"/>
          <w:highlight w:val="none"/>
        </w:rPr>
        <w:t>（</w:t>
      </w:r>
      <w:r>
        <w:rPr>
          <w:rFonts w:hint="eastAsia" w:ascii="Times New Roman" w:hAnsi="Times New Roman" w:eastAsia="宋体" w:cs="Times New Roman"/>
          <w:b w:val="0"/>
          <w:bCs w:val="0"/>
          <w:snapToGrid w:val="0"/>
          <w:color w:val="auto"/>
          <w:spacing w:val="-6"/>
          <w:kern w:val="0"/>
          <w:sz w:val="24"/>
          <w:szCs w:val="24"/>
          <w:highlight w:val="none"/>
          <w:lang w:val="en-US" w:eastAsia="zh-CN"/>
        </w:rPr>
        <w:t>9</w:t>
      </w:r>
      <w:r>
        <w:rPr>
          <w:rFonts w:ascii="Times New Roman" w:hAnsi="Times New Roman" w:eastAsia="宋体" w:cs="Times New Roman"/>
          <w:b w:val="0"/>
          <w:bCs w:val="0"/>
          <w:snapToGrid w:val="0"/>
          <w:color w:val="auto"/>
          <w:spacing w:val="-6"/>
          <w:kern w:val="0"/>
          <w:sz w:val="24"/>
          <w:szCs w:val="24"/>
          <w:highlight w:val="none"/>
        </w:rPr>
        <w:t>）亚硝态氮标准溶液（1 mg/L）：</w:t>
      </w:r>
      <w:r>
        <w:rPr>
          <w:rFonts w:ascii="Times New Roman" w:hAnsi="Times New Roman" w:eastAsia="宋体" w:cs="Times New Roman"/>
          <w:b w:val="0"/>
          <w:bCs w:val="0"/>
          <w:color w:val="auto"/>
          <w:sz w:val="24"/>
          <w:szCs w:val="24"/>
          <w:highlight w:val="none"/>
        </w:rPr>
        <w:t>准确吸取</w:t>
      </w:r>
      <w:r>
        <w:rPr>
          <w:rFonts w:hint="eastAsia" w:ascii="Times New Roman" w:hAnsi="Times New Roman" w:eastAsia="宋体" w:cs="Times New Roman"/>
          <w:b w:val="0"/>
          <w:bCs w:val="0"/>
          <w:color w:val="auto"/>
          <w:sz w:val="24"/>
          <w:szCs w:val="24"/>
          <w:highlight w:val="none"/>
          <w:lang w:val="en-US" w:eastAsia="zh-CN"/>
        </w:rPr>
        <w:t>1</w:t>
      </w:r>
      <w:r>
        <w:rPr>
          <w:rFonts w:ascii="Times New Roman" w:hAnsi="Times New Roman" w:eastAsia="宋体" w:cs="Times New Roman"/>
          <w:b w:val="0"/>
          <w:bCs w:val="0"/>
          <w:color w:val="auto"/>
          <w:sz w:val="24"/>
          <w:szCs w:val="24"/>
          <w:highlight w:val="none"/>
        </w:rPr>
        <w:t xml:space="preserve"> ml </w:t>
      </w:r>
      <w:r>
        <w:rPr>
          <w:rFonts w:ascii="Times New Roman" w:hAnsi="Times New Roman" w:eastAsia="宋体" w:cs="Times New Roman"/>
          <w:b w:val="0"/>
          <w:bCs w:val="0"/>
          <w:snapToGrid w:val="0"/>
          <w:color w:val="auto"/>
          <w:spacing w:val="-6"/>
          <w:kern w:val="0"/>
          <w:sz w:val="24"/>
          <w:szCs w:val="24"/>
          <w:highlight w:val="none"/>
        </w:rPr>
        <w:t>亚硝态氮</w:t>
      </w:r>
      <w:r>
        <w:rPr>
          <w:rFonts w:ascii="Times New Roman" w:hAnsi="Times New Roman" w:eastAsia="宋体" w:cs="Times New Roman"/>
          <w:b w:val="0"/>
          <w:bCs w:val="0"/>
          <w:color w:val="auto"/>
          <w:sz w:val="24"/>
          <w:szCs w:val="24"/>
          <w:highlight w:val="none"/>
        </w:rPr>
        <w:t>标准贮备液定容到</w:t>
      </w:r>
      <w:r>
        <w:rPr>
          <w:rFonts w:hint="eastAsia" w:ascii="Times New Roman" w:hAnsi="Times New Roman" w:eastAsia="宋体" w:cs="Times New Roman"/>
          <w:b w:val="0"/>
          <w:bCs w:val="0"/>
          <w:color w:val="auto"/>
          <w:sz w:val="24"/>
          <w:szCs w:val="24"/>
          <w:highlight w:val="none"/>
          <w:lang w:val="en-US" w:eastAsia="zh-CN"/>
        </w:rPr>
        <w:t>10</w:t>
      </w:r>
      <w:r>
        <w:rPr>
          <w:rFonts w:ascii="Times New Roman" w:hAnsi="Times New Roman" w:eastAsia="宋体" w:cs="Times New Roman"/>
          <w:b w:val="0"/>
          <w:bCs w:val="0"/>
          <w:color w:val="auto"/>
          <w:sz w:val="24"/>
          <w:szCs w:val="24"/>
          <w:highlight w:val="none"/>
        </w:rPr>
        <w:t>00 ml容量瓶中，获得1 mg /L的标准液体</w:t>
      </w:r>
      <w:r>
        <w:rPr>
          <w:rFonts w:ascii="Times New Roman" w:hAnsi="Times New Roman" w:eastAsia="宋体" w:cs="Times New Roman"/>
          <w:b w:val="0"/>
          <w:bCs w:val="0"/>
          <w:snapToGrid w:val="0"/>
          <w:color w:val="auto"/>
          <w:spacing w:val="-6"/>
          <w:kern w:val="0"/>
          <w:sz w:val="24"/>
          <w:szCs w:val="24"/>
          <w:highlight w:val="none"/>
        </w:rPr>
        <w:t>，现配现用</w:t>
      </w:r>
      <w:r>
        <w:rPr>
          <w:rFonts w:ascii="Times New Roman" w:hAnsi="Times New Roman" w:eastAsia="宋体" w:cs="Times New Roman"/>
          <w:b w:val="0"/>
          <w:bCs w:val="0"/>
          <w:color w:val="auto"/>
          <w:sz w:val="24"/>
          <w:szCs w:val="24"/>
          <w:highlight w:val="none"/>
        </w:rPr>
        <w:t>。</w:t>
      </w:r>
    </w:p>
    <w:p w14:paraId="36C6898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default"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eastAsia="zh-CN"/>
        </w:rPr>
        <w:t>（</w:t>
      </w:r>
      <w:r>
        <w:rPr>
          <w:rFonts w:hint="eastAsia" w:ascii="Times New Roman" w:hAnsi="Times New Roman" w:eastAsia="宋体" w:cs="Times New Roman"/>
          <w:b w:val="0"/>
          <w:bCs w:val="0"/>
          <w:color w:val="auto"/>
          <w:sz w:val="24"/>
          <w:szCs w:val="24"/>
          <w:highlight w:val="none"/>
          <w:lang w:val="en-US" w:eastAsia="zh-CN"/>
        </w:rPr>
        <w:t>10</w:t>
      </w:r>
      <w:r>
        <w:rPr>
          <w:rFonts w:hint="eastAsia" w:ascii="Times New Roman" w:hAnsi="Times New Roman" w:eastAsia="宋体" w:cs="Times New Roman"/>
          <w:b w:val="0"/>
          <w:bCs w:val="0"/>
          <w:color w:val="auto"/>
          <w:sz w:val="24"/>
          <w:szCs w:val="24"/>
          <w:highlight w:val="none"/>
          <w:lang w:eastAsia="zh-CN"/>
        </w:rPr>
        <w:t>）</w:t>
      </w:r>
      <w:r>
        <w:rPr>
          <w:rFonts w:hint="eastAsia" w:ascii="Times New Roman" w:hAnsi="Times New Roman" w:eastAsia="宋体" w:cs="Times New Roman"/>
          <w:b w:val="0"/>
          <w:bCs w:val="0"/>
          <w:color w:val="auto"/>
          <w:sz w:val="24"/>
          <w:szCs w:val="24"/>
          <w:highlight w:val="none"/>
          <w:lang w:val="en-US" w:eastAsia="zh-CN"/>
        </w:rPr>
        <w:t>磺胺溶液（C</w:t>
      </w:r>
      <w:r>
        <w:rPr>
          <w:rFonts w:hint="eastAsia" w:ascii="Times New Roman" w:hAnsi="Times New Roman" w:eastAsia="宋体" w:cs="Times New Roman"/>
          <w:b w:val="0"/>
          <w:bCs w:val="0"/>
          <w:color w:val="auto"/>
          <w:sz w:val="24"/>
          <w:szCs w:val="24"/>
          <w:highlight w:val="none"/>
          <w:vertAlign w:val="subscript"/>
          <w:lang w:val="en-US" w:eastAsia="zh-CN"/>
        </w:rPr>
        <w:t>6</w:t>
      </w:r>
      <w:r>
        <w:rPr>
          <w:rFonts w:hint="eastAsia" w:ascii="Times New Roman" w:hAnsi="Times New Roman" w:eastAsia="宋体" w:cs="Times New Roman"/>
          <w:b w:val="0"/>
          <w:bCs w:val="0"/>
          <w:color w:val="auto"/>
          <w:sz w:val="24"/>
          <w:szCs w:val="24"/>
          <w:highlight w:val="none"/>
          <w:lang w:val="en-US" w:eastAsia="zh-CN"/>
        </w:rPr>
        <w:t>H</w:t>
      </w:r>
      <w:r>
        <w:rPr>
          <w:rFonts w:hint="eastAsia" w:ascii="Times New Roman" w:hAnsi="Times New Roman" w:eastAsia="宋体" w:cs="Times New Roman"/>
          <w:b w:val="0"/>
          <w:bCs w:val="0"/>
          <w:color w:val="auto"/>
          <w:sz w:val="24"/>
          <w:szCs w:val="24"/>
          <w:highlight w:val="none"/>
          <w:vertAlign w:val="subscript"/>
          <w:lang w:val="en-US" w:eastAsia="zh-CN"/>
        </w:rPr>
        <w:t>8</w:t>
      </w:r>
      <w:r>
        <w:rPr>
          <w:rFonts w:hint="eastAsia" w:ascii="Times New Roman" w:hAnsi="Times New Roman" w:eastAsia="宋体" w:cs="Times New Roman"/>
          <w:b w:val="0"/>
          <w:bCs w:val="0"/>
          <w:color w:val="auto"/>
          <w:sz w:val="24"/>
          <w:szCs w:val="24"/>
          <w:highlight w:val="none"/>
          <w:lang w:val="en-US" w:eastAsia="zh-CN"/>
        </w:rPr>
        <w:t>N</w:t>
      </w:r>
      <w:r>
        <w:rPr>
          <w:rFonts w:hint="eastAsia" w:ascii="Times New Roman" w:hAnsi="Times New Roman" w:eastAsia="宋体" w:cs="Times New Roman"/>
          <w:b w:val="0"/>
          <w:bCs w:val="0"/>
          <w:color w:val="auto"/>
          <w:sz w:val="24"/>
          <w:szCs w:val="24"/>
          <w:highlight w:val="none"/>
          <w:vertAlign w:val="subscript"/>
          <w:lang w:val="en-US" w:eastAsia="zh-CN"/>
        </w:rPr>
        <w:t>2</w:t>
      </w:r>
      <w:r>
        <w:rPr>
          <w:rFonts w:hint="eastAsia" w:ascii="Times New Roman" w:hAnsi="Times New Roman" w:eastAsia="宋体" w:cs="Times New Roman"/>
          <w:b w:val="0"/>
          <w:bCs w:val="0"/>
          <w:color w:val="auto"/>
          <w:sz w:val="24"/>
          <w:szCs w:val="24"/>
          <w:highlight w:val="none"/>
          <w:lang w:val="en-US" w:eastAsia="zh-CN"/>
        </w:rPr>
        <w:t>O</w:t>
      </w:r>
      <w:r>
        <w:rPr>
          <w:rFonts w:hint="eastAsia" w:ascii="Times New Roman" w:hAnsi="Times New Roman" w:eastAsia="宋体" w:cs="Times New Roman"/>
          <w:b w:val="0"/>
          <w:bCs w:val="0"/>
          <w:color w:val="auto"/>
          <w:sz w:val="24"/>
          <w:szCs w:val="24"/>
          <w:highlight w:val="none"/>
          <w:vertAlign w:val="subscript"/>
          <w:lang w:val="en-US" w:eastAsia="zh-CN"/>
        </w:rPr>
        <w:t>2</w:t>
      </w:r>
      <w:r>
        <w:rPr>
          <w:rFonts w:hint="eastAsia" w:ascii="Times New Roman" w:hAnsi="Times New Roman" w:eastAsia="宋体" w:cs="Times New Roman"/>
          <w:b w:val="0"/>
          <w:bCs w:val="0"/>
          <w:color w:val="auto"/>
          <w:sz w:val="24"/>
          <w:szCs w:val="24"/>
          <w:highlight w:val="none"/>
          <w:lang w:val="en-US" w:eastAsia="zh-CN"/>
        </w:rPr>
        <w:t>S，</w:t>
      </w:r>
      <w:r>
        <w:rPr>
          <w:rFonts w:hint="default" w:ascii="Times New Roman" w:hAnsi="Times New Roman" w:eastAsia="宋体" w:cs="Times New Roman"/>
          <w:b w:val="0"/>
          <w:bCs w:val="0"/>
          <w:i w:val="0"/>
          <w:iCs w:val="0"/>
          <w:caps w:val="0"/>
          <w:color w:val="auto"/>
          <w:spacing w:val="0"/>
          <w:sz w:val="24"/>
          <w:szCs w:val="24"/>
          <w:highlight w:val="none"/>
          <w:shd w:val="clear" w:fill="FFFFFF"/>
        </w:rPr>
        <w:t>重氮化试剂</w:t>
      </w:r>
      <w:r>
        <w:rPr>
          <w:rFonts w:hint="eastAsia" w:ascii="Times New Roman" w:hAnsi="Times New Roman" w:eastAsia="宋体" w:cs="Times New Roman"/>
          <w:b w:val="0"/>
          <w:bCs w:val="0"/>
          <w:color w:val="auto"/>
          <w:sz w:val="24"/>
          <w:szCs w:val="24"/>
          <w:highlight w:val="none"/>
          <w:lang w:val="en-US" w:eastAsia="zh-CN"/>
        </w:rPr>
        <w:t>）：向1000ml容量瓶中加入600ml水，再加入200 ml浓磷酸，再加入80 g磺胺，定容后混匀。该溶液4℃可保存1年。</w:t>
      </w:r>
    </w:p>
    <w:p w14:paraId="5C0278D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default"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eastAsia="zh-CN"/>
        </w:rPr>
        <w:t>（</w:t>
      </w:r>
      <w:r>
        <w:rPr>
          <w:rFonts w:hint="eastAsia" w:ascii="Times New Roman" w:hAnsi="Times New Roman" w:eastAsia="宋体" w:cs="Times New Roman"/>
          <w:b w:val="0"/>
          <w:bCs w:val="0"/>
          <w:color w:val="auto"/>
          <w:sz w:val="24"/>
          <w:szCs w:val="24"/>
          <w:highlight w:val="none"/>
          <w:lang w:val="en-US" w:eastAsia="zh-CN"/>
        </w:rPr>
        <w:t>11</w:t>
      </w:r>
      <w:r>
        <w:rPr>
          <w:rFonts w:hint="eastAsia" w:ascii="Times New Roman" w:hAnsi="Times New Roman" w:eastAsia="宋体" w:cs="Times New Roman"/>
          <w:b w:val="0"/>
          <w:bCs w:val="0"/>
          <w:color w:val="auto"/>
          <w:sz w:val="24"/>
          <w:szCs w:val="24"/>
          <w:highlight w:val="none"/>
          <w:lang w:eastAsia="zh-CN"/>
        </w:rPr>
        <w:t>）</w:t>
      </w:r>
      <w:r>
        <w:rPr>
          <w:rFonts w:hint="eastAsia" w:ascii="Times New Roman" w:hAnsi="Times New Roman" w:eastAsia="宋体" w:cs="Times New Roman"/>
          <w:b w:val="0"/>
          <w:bCs w:val="0"/>
          <w:color w:val="auto"/>
          <w:sz w:val="24"/>
          <w:szCs w:val="24"/>
          <w:highlight w:val="none"/>
          <w:lang w:val="en-US" w:eastAsia="zh-CN"/>
        </w:rPr>
        <w:t>盐酸N-（1-萘基）-乙二胺溶液（C</w:t>
      </w:r>
      <w:r>
        <w:rPr>
          <w:rFonts w:hint="eastAsia" w:ascii="Times New Roman" w:hAnsi="Times New Roman" w:eastAsia="宋体" w:cs="Times New Roman"/>
          <w:b w:val="0"/>
          <w:bCs w:val="0"/>
          <w:color w:val="auto"/>
          <w:sz w:val="24"/>
          <w:szCs w:val="24"/>
          <w:highlight w:val="none"/>
          <w:vertAlign w:val="subscript"/>
          <w:lang w:val="en-US" w:eastAsia="zh-CN"/>
        </w:rPr>
        <w:t>12</w:t>
      </w:r>
      <w:r>
        <w:rPr>
          <w:rFonts w:hint="eastAsia" w:ascii="Times New Roman" w:hAnsi="Times New Roman" w:eastAsia="宋体" w:cs="Times New Roman"/>
          <w:b w:val="0"/>
          <w:bCs w:val="0"/>
          <w:color w:val="auto"/>
          <w:sz w:val="24"/>
          <w:szCs w:val="24"/>
          <w:highlight w:val="none"/>
          <w:lang w:val="en-US" w:eastAsia="zh-CN"/>
        </w:rPr>
        <w:t>H</w:t>
      </w:r>
      <w:r>
        <w:rPr>
          <w:rFonts w:hint="eastAsia" w:ascii="Times New Roman" w:hAnsi="Times New Roman" w:eastAsia="宋体" w:cs="Times New Roman"/>
          <w:b w:val="0"/>
          <w:bCs w:val="0"/>
          <w:color w:val="auto"/>
          <w:sz w:val="24"/>
          <w:szCs w:val="24"/>
          <w:highlight w:val="none"/>
          <w:vertAlign w:val="subscript"/>
          <w:lang w:val="en-US" w:eastAsia="zh-CN"/>
        </w:rPr>
        <w:t>14</w:t>
      </w:r>
      <w:r>
        <w:rPr>
          <w:rFonts w:hint="eastAsia" w:ascii="Times New Roman" w:hAnsi="Times New Roman" w:eastAsia="宋体" w:cs="Times New Roman"/>
          <w:b w:val="0"/>
          <w:bCs w:val="0"/>
          <w:color w:val="auto"/>
          <w:sz w:val="24"/>
          <w:szCs w:val="24"/>
          <w:highlight w:val="none"/>
          <w:lang w:val="en-US" w:eastAsia="zh-CN"/>
        </w:rPr>
        <w:t>N</w:t>
      </w:r>
      <w:r>
        <w:rPr>
          <w:rFonts w:hint="eastAsia" w:ascii="Times New Roman" w:hAnsi="Times New Roman" w:eastAsia="宋体" w:cs="Times New Roman"/>
          <w:b w:val="0"/>
          <w:bCs w:val="0"/>
          <w:color w:val="auto"/>
          <w:sz w:val="24"/>
          <w:szCs w:val="24"/>
          <w:highlight w:val="none"/>
          <w:vertAlign w:val="subscript"/>
          <w:lang w:val="en-US" w:eastAsia="zh-CN"/>
        </w:rPr>
        <w:t>2</w:t>
      </w:r>
      <w:r>
        <w:rPr>
          <w:rFonts w:hint="eastAsia" w:ascii="Times New Roman" w:hAnsi="Times New Roman" w:eastAsia="宋体" w:cs="Times New Roman"/>
          <w:b w:val="0"/>
          <w:bCs w:val="0"/>
          <w:color w:val="auto"/>
          <w:sz w:val="24"/>
          <w:szCs w:val="24"/>
          <w:highlight w:val="none"/>
          <w:lang w:val="en-US" w:eastAsia="zh-CN"/>
        </w:rPr>
        <w:t>.2HCl，</w:t>
      </w:r>
      <w:r>
        <w:rPr>
          <w:rFonts w:hint="default" w:ascii="Times New Roman" w:hAnsi="Times New Roman" w:eastAsia="宋体" w:cs="Times New Roman"/>
          <w:b w:val="0"/>
          <w:bCs w:val="0"/>
          <w:i w:val="0"/>
          <w:iCs w:val="0"/>
          <w:caps w:val="0"/>
          <w:color w:val="auto"/>
          <w:spacing w:val="0"/>
          <w:sz w:val="24"/>
          <w:szCs w:val="24"/>
          <w:highlight w:val="none"/>
          <w:shd w:val="clear" w:fill="FFFFFF"/>
        </w:rPr>
        <w:t>NEDA</w:t>
      </w:r>
      <w:r>
        <w:rPr>
          <w:rFonts w:hint="eastAsia" w:ascii="Times New Roman" w:hAnsi="Times New Roman" w:eastAsia="宋体" w:cs="Times New Roman"/>
          <w:b w:val="0"/>
          <w:bCs w:val="0"/>
          <w:i w:val="0"/>
          <w:iCs w:val="0"/>
          <w:caps w:val="0"/>
          <w:color w:val="auto"/>
          <w:spacing w:val="0"/>
          <w:sz w:val="24"/>
          <w:szCs w:val="24"/>
          <w:highlight w:val="none"/>
          <w:shd w:val="clear" w:fill="FFFFFF"/>
          <w:lang w:eastAsia="zh-CN"/>
        </w:rPr>
        <w:t>，</w:t>
      </w:r>
      <w:r>
        <w:rPr>
          <w:rFonts w:hint="default" w:ascii="Times New Roman" w:hAnsi="Times New Roman" w:eastAsia="宋体" w:cs="Times New Roman"/>
          <w:b w:val="0"/>
          <w:bCs w:val="0"/>
          <w:i w:val="0"/>
          <w:iCs w:val="0"/>
          <w:caps w:val="0"/>
          <w:color w:val="auto"/>
          <w:spacing w:val="0"/>
          <w:sz w:val="24"/>
          <w:szCs w:val="24"/>
          <w:highlight w:val="none"/>
          <w:shd w:val="clear" w:fill="FFFFFF"/>
        </w:rPr>
        <w:t>偶合试剂</w:t>
      </w:r>
      <w:r>
        <w:rPr>
          <w:rFonts w:hint="eastAsia" w:ascii="Times New Roman" w:hAnsi="Times New Roman" w:eastAsia="宋体" w:cs="Times New Roman"/>
          <w:b w:val="0"/>
          <w:bCs w:val="0"/>
          <w:color w:val="auto"/>
          <w:sz w:val="24"/>
          <w:szCs w:val="24"/>
          <w:highlight w:val="none"/>
          <w:lang w:val="en-US" w:eastAsia="zh-CN"/>
        </w:rPr>
        <w:t>）：称取0.40 g盐酸N-（1-萘基）-乙二胺溶于100 ml水中。</w:t>
      </w:r>
      <w:r>
        <w:rPr>
          <w:rFonts w:ascii="Times New Roman" w:hAnsi="Times New Roman" w:eastAsia="宋体" w:cs="Times New Roman"/>
          <w:b w:val="0"/>
          <w:bCs w:val="0"/>
          <w:snapToGrid w:val="0"/>
          <w:color w:val="auto"/>
          <w:spacing w:val="-6"/>
          <w:kern w:val="0"/>
          <w:sz w:val="24"/>
          <w:szCs w:val="24"/>
          <w:highlight w:val="none"/>
        </w:rPr>
        <w:t>4℃冰箱中</w:t>
      </w:r>
      <w:r>
        <w:rPr>
          <w:rFonts w:hint="eastAsia" w:ascii="Times New Roman" w:hAnsi="Times New Roman" w:eastAsia="宋体" w:cs="Times New Roman"/>
          <w:b w:val="0"/>
          <w:bCs w:val="0"/>
          <w:snapToGrid w:val="0"/>
          <w:color w:val="auto"/>
          <w:spacing w:val="-6"/>
          <w:kern w:val="0"/>
          <w:sz w:val="24"/>
          <w:szCs w:val="24"/>
          <w:highlight w:val="none"/>
          <w:lang w:val="en-US" w:eastAsia="zh-CN"/>
        </w:rPr>
        <w:t>保存，当溶液颜色变深时停止使用。</w:t>
      </w:r>
    </w:p>
    <w:p w14:paraId="5C340B71">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114" w:firstLine="456" w:firstLineChars="200"/>
        <w:jc w:val="left"/>
        <w:textAlignment w:val="baseline"/>
        <w:rPr>
          <w:rFonts w:ascii="Times New Roman" w:hAnsi="Times New Roman" w:eastAsia="宋体" w:cs="Times New Roman"/>
          <w:b w:val="0"/>
          <w:bCs w:val="0"/>
          <w:snapToGrid w:val="0"/>
          <w:color w:val="auto"/>
          <w:spacing w:val="-6"/>
          <w:kern w:val="0"/>
          <w:sz w:val="24"/>
          <w:szCs w:val="24"/>
          <w:highlight w:val="none"/>
        </w:rPr>
      </w:pPr>
      <w:r>
        <w:rPr>
          <w:rFonts w:ascii="Times New Roman" w:hAnsi="Times New Roman" w:eastAsia="宋体" w:cs="Times New Roman"/>
          <w:b w:val="0"/>
          <w:bCs w:val="0"/>
          <w:snapToGrid w:val="0"/>
          <w:color w:val="auto"/>
          <w:spacing w:val="-6"/>
          <w:kern w:val="0"/>
          <w:sz w:val="24"/>
          <w:szCs w:val="24"/>
          <w:highlight w:val="none"/>
        </w:rPr>
        <w:t>（</w:t>
      </w:r>
      <w:r>
        <w:rPr>
          <w:rFonts w:hint="eastAsia" w:ascii="Times New Roman" w:hAnsi="Times New Roman" w:eastAsia="宋体" w:cs="Times New Roman"/>
          <w:b w:val="0"/>
          <w:bCs w:val="0"/>
          <w:snapToGrid w:val="0"/>
          <w:color w:val="auto"/>
          <w:spacing w:val="-6"/>
          <w:kern w:val="0"/>
          <w:sz w:val="24"/>
          <w:szCs w:val="24"/>
          <w:highlight w:val="none"/>
          <w:lang w:val="en-US" w:eastAsia="zh-CN"/>
        </w:rPr>
        <w:t>12</w:t>
      </w:r>
      <w:r>
        <w:rPr>
          <w:rFonts w:ascii="Times New Roman" w:hAnsi="Times New Roman" w:eastAsia="宋体" w:cs="Times New Roman"/>
          <w:b w:val="0"/>
          <w:bCs w:val="0"/>
          <w:snapToGrid w:val="0"/>
          <w:color w:val="auto"/>
          <w:spacing w:val="-6"/>
          <w:kern w:val="0"/>
          <w:sz w:val="24"/>
          <w:szCs w:val="24"/>
          <w:highlight w:val="none"/>
        </w:rPr>
        <w:t>）显色剂：</w:t>
      </w:r>
      <w:r>
        <w:rPr>
          <w:rFonts w:hint="eastAsia" w:ascii="Times New Roman" w:hAnsi="Times New Roman" w:eastAsia="宋体" w:cs="Times New Roman"/>
          <w:b w:val="0"/>
          <w:bCs w:val="0"/>
          <w:snapToGrid w:val="0"/>
          <w:color w:val="auto"/>
          <w:spacing w:val="-6"/>
          <w:kern w:val="0"/>
          <w:sz w:val="24"/>
          <w:szCs w:val="24"/>
          <w:highlight w:val="none"/>
          <w:lang w:val="en-US" w:eastAsia="zh-CN"/>
        </w:rPr>
        <w:t xml:space="preserve">量取20.00 ml </w:t>
      </w:r>
      <w:r>
        <w:rPr>
          <w:rFonts w:ascii="Times New Roman" w:hAnsi="Times New Roman" w:eastAsia="宋体" w:cs="Times New Roman"/>
          <w:b w:val="0"/>
          <w:bCs w:val="0"/>
          <w:snapToGrid w:val="0"/>
          <w:color w:val="auto"/>
          <w:spacing w:val="-6"/>
          <w:kern w:val="0"/>
          <w:sz w:val="24"/>
          <w:szCs w:val="24"/>
          <w:highlight w:val="none"/>
        </w:rPr>
        <w:t>磺胺</w:t>
      </w:r>
      <w:r>
        <w:rPr>
          <w:rFonts w:hint="eastAsia" w:ascii="Times New Roman" w:hAnsi="Times New Roman" w:eastAsia="宋体" w:cs="Times New Roman"/>
          <w:b w:val="0"/>
          <w:bCs w:val="0"/>
          <w:snapToGrid w:val="0"/>
          <w:color w:val="auto"/>
          <w:spacing w:val="-6"/>
          <w:kern w:val="0"/>
          <w:sz w:val="24"/>
          <w:szCs w:val="24"/>
          <w:highlight w:val="none"/>
          <w:lang w:val="en-US" w:eastAsia="zh-CN"/>
        </w:rPr>
        <w:t>溶液、20.00 ml</w:t>
      </w:r>
      <w:r>
        <w:rPr>
          <w:rFonts w:ascii="Times New Roman" w:hAnsi="Times New Roman" w:eastAsia="宋体" w:cs="Times New Roman"/>
          <w:b w:val="0"/>
          <w:bCs w:val="0"/>
          <w:snapToGrid w:val="0"/>
          <w:color w:val="auto"/>
          <w:spacing w:val="-6"/>
          <w:kern w:val="0"/>
          <w:sz w:val="24"/>
          <w:szCs w:val="24"/>
          <w:highlight w:val="none"/>
        </w:rPr>
        <w:t>（1-萘基）-乙二胺盐酸</w:t>
      </w:r>
      <w:r>
        <w:rPr>
          <w:rFonts w:hint="eastAsia" w:ascii="Times New Roman" w:hAnsi="Times New Roman" w:eastAsia="宋体" w:cs="Times New Roman"/>
          <w:b w:val="0"/>
          <w:bCs w:val="0"/>
          <w:snapToGrid w:val="0"/>
          <w:color w:val="auto"/>
          <w:spacing w:val="-6"/>
          <w:kern w:val="0"/>
          <w:sz w:val="24"/>
          <w:szCs w:val="24"/>
          <w:highlight w:val="none"/>
          <w:lang w:val="en-US" w:eastAsia="zh-CN"/>
        </w:rPr>
        <w:t>溶液、20.00 ml 浓磷酸，混匀，4 ℃保存于棕色试剂瓶中</w:t>
      </w:r>
      <w:r>
        <w:rPr>
          <w:rFonts w:hint="eastAsia" w:ascii="Times New Roman" w:hAnsi="Times New Roman" w:eastAsia="宋体" w:cs="Times New Roman"/>
          <w:b w:val="0"/>
          <w:bCs w:val="0"/>
          <w:snapToGrid w:val="0"/>
          <w:color w:val="auto"/>
          <w:spacing w:val="-6"/>
          <w:kern w:val="0"/>
          <w:sz w:val="24"/>
          <w:szCs w:val="24"/>
          <w:highlight w:val="none"/>
        </w:rPr>
        <w:t>。</w:t>
      </w:r>
      <w:r>
        <w:rPr>
          <w:rFonts w:ascii="Times New Roman" w:hAnsi="Times New Roman" w:eastAsia="宋体" w:cs="Times New Roman"/>
          <w:b w:val="0"/>
          <w:bCs w:val="0"/>
          <w:snapToGrid w:val="0"/>
          <w:color w:val="auto"/>
          <w:spacing w:val="-6"/>
          <w:kern w:val="0"/>
          <w:sz w:val="24"/>
          <w:szCs w:val="24"/>
          <w:highlight w:val="none"/>
        </w:rPr>
        <w:t>该溶液应该是无色的</w:t>
      </w:r>
      <w:r>
        <w:rPr>
          <w:rFonts w:hint="eastAsia" w:ascii="Times New Roman" w:hAnsi="Times New Roman" w:eastAsia="宋体" w:cs="Times New Roman"/>
          <w:b w:val="0"/>
          <w:bCs w:val="0"/>
          <w:snapToGrid w:val="0"/>
          <w:color w:val="auto"/>
          <w:spacing w:val="-6"/>
          <w:kern w:val="0"/>
          <w:sz w:val="24"/>
          <w:szCs w:val="24"/>
          <w:highlight w:val="none"/>
          <w:lang w:eastAsia="zh-CN"/>
        </w:rPr>
        <w:t>，</w:t>
      </w:r>
      <w:r>
        <w:rPr>
          <w:rFonts w:hint="eastAsia" w:ascii="Times New Roman" w:hAnsi="Times New Roman" w:eastAsia="宋体" w:cs="Times New Roman"/>
          <w:b w:val="0"/>
          <w:bCs w:val="0"/>
          <w:snapToGrid w:val="0"/>
          <w:color w:val="auto"/>
          <w:spacing w:val="-6"/>
          <w:kern w:val="0"/>
          <w:sz w:val="24"/>
          <w:szCs w:val="24"/>
          <w:highlight w:val="none"/>
          <w:lang w:val="en-US" w:eastAsia="zh-CN"/>
        </w:rPr>
        <w:t>变色后停止使用</w:t>
      </w:r>
      <w:r>
        <w:rPr>
          <w:rFonts w:ascii="Times New Roman" w:hAnsi="Times New Roman" w:eastAsia="宋体" w:cs="Times New Roman"/>
          <w:b w:val="0"/>
          <w:bCs w:val="0"/>
          <w:snapToGrid w:val="0"/>
          <w:color w:val="auto"/>
          <w:spacing w:val="-6"/>
          <w:kern w:val="0"/>
          <w:sz w:val="24"/>
          <w:szCs w:val="24"/>
          <w:highlight w:val="none"/>
        </w:rPr>
        <w:t>。</w:t>
      </w:r>
    </w:p>
    <w:p w14:paraId="69B350CE">
      <w:pPr>
        <w:keepNext w:val="0"/>
        <w:keepLines w:val="0"/>
        <w:pageBreakBefore w:val="0"/>
        <w:widowControl/>
        <w:kinsoku w:val="0"/>
        <w:wordWrap/>
        <w:overflowPunct/>
        <w:topLinePunct w:val="0"/>
        <w:autoSpaceDE w:val="0"/>
        <w:autoSpaceDN w:val="0"/>
        <w:bidi w:val="0"/>
        <w:adjustRightInd w:val="0"/>
        <w:snapToGrid w:val="0"/>
        <w:spacing w:line="360" w:lineRule="auto"/>
        <w:ind w:firstLine="468" w:firstLineChars="200"/>
        <w:jc w:val="left"/>
        <w:textAlignment w:val="baseline"/>
        <w:rPr>
          <w:rFonts w:ascii="Times New Roman" w:hAnsi="Times New Roman" w:eastAsia="宋体" w:cs="Times New Roman"/>
          <w:b w:val="0"/>
          <w:bCs w:val="0"/>
          <w:snapToGrid w:val="0"/>
          <w:color w:val="auto"/>
          <w:spacing w:val="-3"/>
          <w:kern w:val="0"/>
          <w:sz w:val="24"/>
          <w:szCs w:val="24"/>
          <w:highlight w:val="none"/>
        </w:rPr>
      </w:pPr>
      <w:r>
        <w:rPr>
          <w:rFonts w:hint="eastAsia" w:ascii="Times New Roman" w:hAnsi="Times New Roman" w:eastAsia="宋体" w:cs="Times New Roman"/>
          <w:b w:val="0"/>
          <w:bCs w:val="0"/>
          <w:snapToGrid w:val="0"/>
          <w:color w:val="auto"/>
          <w:spacing w:val="-3"/>
          <w:kern w:val="0"/>
          <w:sz w:val="24"/>
          <w:szCs w:val="24"/>
          <w:highlight w:val="none"/>
        </w:rPr>
        <w:t>（1</w:t>
      </w:r>
      <w:r>
        <w:rPr>
          <w:rFonts w:hint="eastAsia" w:ascii="Times New Roman" w:hAnsi="Times New Roman" w:eastAsia="宋体" w:cs="Times New Roman"/>
          <w:b w:val="0"/>
          <w:bCs w:val="0"/>
          <w:snapToGrid w:val="0"/>
          <w:color w:val="auto"/>
          <w:spacing w:val="-3"/>
          <w:kern w:val="0"/>
          <w:sz w:val="24"/>
          <w:szCs w:val="24"/>
          <w:highlight w:val="none"/>
          <w:lang w:val="en-US" w:eastAsia="zh-CN"/>
        </w:rPr>
        <w:t>3</w:t>
      </w:r>
      <w:r>
        <w:rPr>
          <w:rFonts w:hint="eastAsia" w:ascii="Times New Roman" w:hAnsi="Times New Roman" w:eastAsia="宋体" w:cs="Times New Roman"/>
          <w:b w:val="0"/>
          <w:bCs w:val="0"/>
          <w:snapToGrid w:val="0"/>
          <w:color w:val="auto"/>
          <w:spacing w:val="-3"/>
          <w:kern w:val="0"/>
          <w:sz w:val="24"/>
          <w:szCs w:val="24"/>
          <w:highlight w:val="none"/>
        </w:rPr>
        <w:t>）</w:t>
      </w:r>
      <w:r>
        <w:rPr>
          <w:rFonts w:ascii="Times New Roman" w:hAnsi="Times New Roman" w:eastAsia="宋体" w:cs="Times New Roman"/>
          <w:b w:val="0"/>
          <w:bCs w:val="0"/>
          <w:snapToGrid w:val="0"/>
          <w:color w:val="auto"/>
          <w:spacing w:val="-3"/>
          <w:kern w:val="0"/>
          <w:sz w:val="24"/>
          <w:szCs w:val="24"/>
          <w:highlight w:val="none"/>
        </w:rPr>
        <w:t>碳酸氢钠（5 mmol/L）：称取 0.42 g 分析纯的碳酸氢钠，用蒸馏水溶解、定容至1</w:t>
      </w:r>
      <w:r>
        <w:rPr>
          <w:rFonts w:hint="eastAsia" w:ascii="Times New Roman" w:hAnsi="Times New Roman" w:eastAsia="宋体" w:cs="Times New Roman"/>
          <w:b w:val="0"/>
          <w:bCs w:val="0"/>
          <w:snapToGrid w:val="0"/>
          <w:color w:val="auto"/>
          <w:spacing w:val="-3"/>
          <w:kern w:val="0"/>
          <w:sz w:val="24"/>
          <w:szCs w:val="24"/>
          <w:highlight w:val="none"/>
          <w:lang w:val="en-US" w:eastAsia="zh-CN"/>
        </w:rPr>
        <w:t xml:space="preserve"> </w:t>
      </w:r>
      <w:r>
        <w:rPr>
          <w:rFonts w:ascii="Times New Roman" w:hAnsi="Times New Roman" w:eastAsia="宋体" w:cs="Times New Roman"/>
          <w:b w:val="0"/>
          <w:bCs w:val="0"/>
          <w:snapToGrid w:val="0"/>
          <w:color w:val="auto"/>
          <w:spacing w:val="-3"/>
          <w:kern w:val="0"/>
          <w:sz w:val="24"/>
          <w:szCs w:val="24"/>
          <w:highlight w:val="none"/>
        </w:rPr>
        <w:t>L。</w:t>
      </w:r>
    </w:p>
    <w:p w14:paraId="3A37C4BA">
      <w:pPr>
        <w:keepNext w:val="0"/>
        <w:keepLines w:val="0"/>
        <w:pageBreakBefore w:val="0"/>
        <w:widowControl/>
        <w:kinsoku w:val="0"/>
        <w:wordWrap/>
        <w:overflowPunct/>
        <w:topLinePunct w:val="0"/>
        <w:autoSpaceDE w:val="0"/>
        <w:autoSpaceDN w:val="0"/>
        <w:bidi w:val="0"/>
        <w:adjustRightInd w:val="0"/>
        <w:snapToGrid w:val="0"/>
        <w:spacing w:line="360" w:lineRule="auto"/>
        <w:ind w:firstLine="468" w:firstLineChars="200"/>
        <w:jc w:val="left"/>
        <w:textAlignment w:val="baseline"/>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b w:val="0"/>
          <w:bCs w:val="0"/>
          <w:snapToGrid w:val="0"/>
          <w:color w:val="auto"/>
          <w:spacing w:val="-3"/>
          <w:kern w:val="0"/>
          <w:sz w:val="24"/>
          <w:szCs w:val="24"/>
          <w:highlight w:val="none"/>
          <w:lang w:val="en-US" w:eastAsia="zh-CN"/>
        </w:rPr>
        <w:t>注：当需要碳源时，例如待测土壤的硝氮水平较高，在试验介质中加入10ml碳酸氢钠溶液（13），然后再定容到1L。同理，若肥料样品原料中含有碳酸氢铵或含碳物质，生产企业应主动说明其添加含量，以免其中的碳促进培养体系中的氨氧化过程，进而促进亚硝态氮的积累，导致错误测定结果。</w:t>
      </w:r>
    </w:p>
    <w:p w14:paraId="57A0887A">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6.1.3.2 分析步骤</w:t>
      </w:r>
    </w:p>
    <w:p w14:paraId="10716835">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outlineLvl w:val="0"/>
        <w:rPr>
          <w:rFonts w:ascii="Times New Roman" w:hAnsi="Times New Roman" w:eastAsia="宋体" w:cs="Times New Roman"/>
          <w:snapToGrid w:val="0"/>
          <w:kern w:val="0"/>
          <w:sz w:val="24"/>
          <w:szCs w:val="24"/>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eastAsia="zh-CN"/>
        </w:rPr>
        <w:t>）</w:t>
      </w:r>
      <w:r>
        <w:rPr>
          <w:rFonts w:ascii="Times New Roman" w:hAnsi="Times New Roman" w:eastAsia="宋体" w:cs="Times New Roman"/>
          <w:bCs/>
          <w:snapToGrid w:val="0"/>
          <w:spacing w:val="-8"/>
          <w:kern w:val="0"/>
          <w:sz w:val="24"/>
          <w:szCs w:val="24"/>
        </w:rPr>
        <w:t>土壤培养及取样</w:t>
      </w:r>
    </w:p>
    <w:p w14:paraId="20E2AF81">
      <w:pPr>
        <w:keepNext w:val="0"/>
        <w:keepLines w:val="0"/>
        <w:pageBreakBefore w:val="0"/>
        <w:widowControl/>
        <w:kinsoku w:val="0"/>
        <w:wordWrap/>
        <w:overflowPunct/>
        <w:topLinePunct w:val="0"/>
        <w:autoSpaceDE w:val="0"/>
        <w:autoSpaceDN w:val="0"/>
        <w:bidi w:val="0"/>
        <w:adjustRightInd w:val="0"/>
        <w:snapToGrid w:val="0"/>
        <w:spacing w:line="360" w:lineRule="auto"/>
        <w:ind w:firstLine="456" w:firstLineChars="200"/>
        <w:jc w:val="left"/>
        <w:textAlignment w:val="baseline"/>
        <w:rPr>
          <w:rFonts w:hint="eastAsia" w:ascii="Times New Roman" w:hAnsi="Times New Roman" w:eastAsia="宋体" w:cs="Times New Roman"/>
          <w:snapToGrid w:val="0"/>
          <w:spacing w:val="-6"/>
          <w:kern w:val="0"/>
          <w:sz w:val="24"/>
          <w:szCs w:val="24"/>
          <w:highlight w:val="none"/>
          <w:lang w:val="en-US" w:eastAsia="zh-CN"/>
        </w:rPr>
      </w:pPr>
      <w:r>
        <w:rPr>
          <w:rFonts w:ascii="Times New Roman" w:hAnsi="Times New Roman" w:eastAsia="宋体" w:cs="Times New Roman"/>
          <w:snapToGrid w:val="0"/>
          <w:spacing w:val="-6"/>
          <w:kern w:val="0"/>
          <w:sz w:val="24"/>
          <w:szCs w:val="24"/>
          <w:highlight w:val="none"/>
        </w:rPr>
        <w:t>称取4份</w:t>
      </w:r>
      <w:r>
        <w:rPr>
          <w:rFonts w:hint="eastAsia" w:ascii="Times New Roman" w:hAnsi="Times New Roman" w:eastAsia="宋体" w:cs="Times New Roman"/>
          <w:snapToGrid w:val="0"/>
          <w:spacing w:val="-6"/>
          <w:kern w:val="0"/>
          <w:sz w:val="24"/>
          <w:szCs w:val="24"/>
          <w:highlight w:val="none"/>
        </w:rPr>
        <w:t>2</w:t>
      </w:r>
      <w:r>
        <w:rPr>
          <w:rFonts w:ascii="Times New Roman" w:hAnsi="Times New Roman" w:eastAsia="宋体" w:cs="Times New Roman"/>
          <w:snapToGrid w:val="0"/>
          <w:spacing w:val="-6"/>
          <w:kern w:val="0"/>
          <w:sz w:val="24"/>
          <w:szCs w:val="24"/>
          <w:highlight w:val="none"/>
        </w:rPr>
        <w:t>5.00 g过2 mm筛</w:t>
      </w:r>
      <w:r>
        <w:rPr>
          <w:rFonts w:hint="eastAsia" w:ascii="Times New Roman" w:hAnsi="Times New Roman" w:eastAsia="宋体" w:cs="Times New Roman"/>
          <w:snapToGrid w:val="0"/>
          <w:spacing w:val="-6"/>
          <w:kern w:val="0"/>
          <w:sz w:val="24"/>
          <w:szCs w:val="24"/>
          <w:highlight w:val="none"/>
          <w:lang w:val="en-US" w:eastAsia="zh-CN"/>
        </w:rPr>
        <w:t>且充分混匀</w:t>
      </w:r>
      <w:r>
        <w:rPr>
          <w:rFonts w:ascii="Times New Roman" w:hAnsi="Times New Roman" w:eastAsia="宋体" w:cs="Times New Roman"/>
          <w:snapToGrid w:val="0"/>
          <w:spacing w:val="-6"/>
          <w:kern w:val="0"/>
          <w:sz w:val="24"/>
          <w:szCs w:val="24"/>
          <w:highlight w:val="none"/>
        </w:rPr>
        <w:t>的</w:t>
      </w:r>
      <w:r>
        <w:rPr>
          <w:rFonts w:hint="eastAsia" w:ascii="Times New Roman" w:hAnsi="Times New Roman" w:eastAsia="宋体" w:cs="Times New Roman"/>
          <w:snapToGrid w:val="0"/>
          <w:spacing w:val="-6"/>
          <w:kern w:val="0"/>
          <w:sz w:val="24"/>
          <w:szCs w:val="24"/>
          <w:highlight w:val="none"/>
        </w:rPr>
        <w:t>鲜土</w:t>
      </w:r>
      <w:r>
        <w:rPr>
          <w:rFonts w:ascii="Times New Roman" w:hAnsi="Times New Roman" w:eastAsia="宋体" w:cs="Times New Roman"/>
          <w:snapToGrid w:val="0"/>
          <w:spacing w:val="-6"/>
          <w:kern w:val="0"/>
          <w:sz w:val="24"/>
          <w:szCs w:val="24"/>
          <w:highlight w:val="none"/>
        </w:rPr>
        <w:t>分别置于培养容器中，然后分别加入100 ml 培养介质溶液，</w:t>
      </w:r>
      <w:r>
        <w:rPr>
          <w:rFonts w:hint="eastAsia" w:ascii="Times New Roman" w:hAnsi="Times New Roman" w:eastAsia="宋体" w:cs="Times New Roman"/>
          <w:snapToGrid w:val="0"/>
          <w:spacing w:val="-6"/>
          <w:kern w:val="0"/>
          <w:sz w:val="24"/>
          <w:szCs w:val="24"/>
          <w:highlight w:val="none"/>
          <w:lang w:val="en-US" w:eastAsia="zh-CN"/>
        </w:rPr>
        <w:t>Para膜封口后，</w:t>
      </w:r>
      <w:r>
        <w:rPr>
          <w:rFonts w:ascii="Times New Roman" w:hAnsi="Times New Roman" w:eastAsia="宋体" w:cs="Times New Roman"/>
          <w:snapToGrid w:val="0"/>
          <w:spacing w:val="-6"/>
          <w:kern w:val="0"/>
          <w:sz w:val="24"/>
          <w:szCs w:val="24"/>
          <w:highlight w:val="none"/>
        </w:rPr>
        <w:t>置于25 ℃</w:t>
      </w:r>
      <w:r>
        <w:rPr>
          <w:rFonts w:hint="eastAsia" w:ascii="Times New Roman" w:hAnsi="Times New Roman" w:eastAsia="宋体" w:cs="Times New Roman"/>
          <w:snapToGrid w:val="0"/>
          <w:spacing w:val="-6"/>
          <w:kern w:val="0"/>
          <w:sz w:val="24"/>
          <w:szCs w:val="24"/>
          <w:highlight w:val="none"/>
        </w:rPr>
        <w:t>、1</w:t>
      </w:r>
      <w:r>
        <w:rPr>
          <w:rFonts w:ascii="Times New Roman" w:hAnsi="Times New Roman" w:eastAsia="宋体" w:cs="Times New Roman"/>
          <w:snapToGrid w:val="0"/>
          <w:spacing w:val="-6"/>
          <w:kern w:val="0"/>
          <w:sz w:val="24"/>
          <w:szCs w:val="24"/>
          <w:highlight w:val="none"/>
        </w:rPr>
        <w:t>75 r</w:t>
      </w:r>
      <w:r>
        <w:rPr>
          <w:rFonts w:hint="eastAsia" w:ascii="Times New Roman" w:hAnsi="Times New Roman" w:eastAsia="宋体" w:cs="Times New Roman"/>
          <w:snapToGrid w:val="0"/>
          <w:spacing w:val="-6"/>
          <w:kern w:val="0"/>
          <w:sz w:val="24"/>
          <w:szCs w:val="24"/>
          <w:highlight w:val="none"/>
        </w:rPr>
        <w:t>/m</w:t>
      </w:r>
      <w:r>
        <w:rPr>
          <w:rFonts w:ascii="Times New Roman" w:hAnsi="Times New Roman" w:eastAsia="宋体" w:cs="Times New Roman"/>
          <w:snapToGrid w:val="0"/>
          <w:spacing w:val="-6"/>
          <w:kern w:val="0"/>
          <w:sz w:val="24"/>
          <w:szCs w:val="24"/>
          <w:highlight w:val="none"/>
        </w:rPr>
        <w:t>in震荡</w:t>
      </w:r>
      <w:r>
        <w:rPr>
          <w:rFonts w:hint="eastAsia" w:ascii="Times New Roman" w:hAnsi="Times New Roman" w:eastAsia="宋体" w:cs="Times New Roman"/>
          <w:snapToGrid w:val="0"/>
          <w:spacing w:val="-6"/>
          <w:kern w:val="0"/>
          <w:sz w:val="24"/>
          <w:szCs w:val="24"/>
          <w:highlight w:val="none"/>
          <w:lang w:val="en-US" w:eastAsia="zh-CN"/>
        </w:rPr>
        <w:t xml:space="preserve"> </w:t>
      </w:r>
      <w:r>
        <w:rPr>
          <w:rFonts w:ascii="Times New Roman" w:hAnsi="Times New Roman" w:eastAsia="宋体" w:cs="Times New Roman"/>
          <w:snapToGrid w:val="0"/>
          <w:spacing w:val="-6"/>
          <w:kern w:val="0"/>
          <w:sz w:val="24"/>
          <w:szCs w:val="24"/>
          <w:highlight w:val="none"/>
        </w:rPr>
        <w:t>2 h</w:t>
      </w:r>
      <w:r>
        <w:rPr>
          <w:rFonts w:hint="eastAsia" w:ascii="Times New Roman" w:hAnsi="Times New Roman" w:eastAsia="宋体" w:cs="Times New Roman"/>
          <w:snapToGrid w:val="0"/>
          <w:spacing w:val="-6"/>
          <w:kern w:val="0"/>
          <w:sz w:val="24"/>
          <w:szCs w:val="24"/>
          <w:highlight w:val="none"/>
          <w:lang w:val="en-US" w:eastAsia="zh-CN"/>
        </w:rPr>
        <w:t xml:space="preserve"> </w:t>
      </w:r>
      <w:r>
        <w:rPr>
          <w:rFonts w:ascii="Times New Roman" w:hAnsi="Times New Roman" w:eastAsia="宋体" w:cs="Times New Roman"/>
          <w:snapToGrid w:val="0"/>
          <w:spacing w:val="-6"/>
          <w:kern w:val="0"/>
          <w:sz w:val="24"/>
          <w:szCs w:val="24"/>
          <w:highlight w:val="none"/>
        </w:rPr>
        <w:t>后</w:t>
      </w:r>
      <w:r>
        <w:rPr>
          <w:rFonts w:hint="eastAsia" w:ascii="Times New Roman" w:hAnsi="Times New Roman" w:eastAsia="宋体" w:cs="Times New Roman"/>
          <w:snapToGrid w:val="0"/>
          <w:spacing w:val="-6"/>
          <w:kern w:val="0"/>
          <w:sz w:val="24"/>
          <w:szCs w:val="24"/>
          <w:highlight w:val="none"/>
        </w:rPr>
        <w:t>，</w:t>
      </w:r>
      <w:r>
        <w:rPr>
          <w:rFonts w:ascii="Times New Roman" w:hAnsi="Times New Roman" w:eastAsia="宋体" w:cs="Times New Roman"/>
          <w:snapToGrid w:val="0"/>
          <w:spacing w:val="-6"/>
          <w:kern w:val="0"/>
          <w:sz w:val="24"/>
          <w:szCs w:val="24"/>
          <w:highlight w:val="none"/>
        </w:rPr>
        <w:t>取出10 ml 悬浊液</w:t>
      </w:r>
      <w:r>
        <w:rPr>
          <w:rFonts w:hint="eastAsia" w:ascii="Times New Roman" w:hAnsi="Times New Roman" w:eastAsia="宋体" w:cs="Times New Roman"/>
          <w:snapToGrid w:val="0"/>
          <w:spacing w:val="-6"/>
          <w:kern w:val="0"/>
          <w:sz w:val="24"/>
          <w:szCs w:val="24"/>
          <w:highlight w:val="none"/>
        </w:rPr>
        <w:t>置于</w:t>
      </w:r>
      <w:r>
        <w:rPr>
          <w:rFonts w:hint="eastAsia" w:ascii="Times New Roman" w:hAnsi="Times New Roman" w:eastAsia="宋体" w:cs="Times New Roman"/>
          <w:snapToGrid w:val="0"/>
          <w:spacing w:val="-6"/>
          <w:kern w:val="0"/>
          <w:sz w:val="24"/>
          <w:szCs w:val="24"/>
          <w:highlight w:val="none"/>
          <w:lang w:val="en-US" w:eastAsia="zh-CN"/>
        </w:rPr>
        <w:t>容器</w:t>
      </w:r>
      <w:r>
        <w:rPr>
          <w:rFonts w:hint="eastAsia" w:ascii="Times New Roman" w:hAnsi="Times New Roman" w:eastAsia="宋体" w:cs="Times New Roman"/>
          <w:snapToGrid w:val="0"/>
          <w:spacing w:val="-6"/>
          <w:kern w:val="0"/>
          <w:sz w:val="24"/>
          <w:szCs w:val="24"/>
          <w:highlight w:val="none"/>
        </w:rPr>
        <w:t>中</w:t>
      </w:r>
      <w:r>
        <w:rPr>
          <w:rFonts w:ascii="Times New Roman" w:hAnsi="Times New Roman" w:eastAsia="宋体" w:cs="Times New Roman"/>
          <w:snapToGrid w:val="0"/>
          <w:spacing w:val="-6"/>
          <w:kern w:val="0"/>
          <w:sz w:val="24"/>
          <w:szCs w:val="24"/>
          <w:highlight w:val="none"/>
        </w:rPr>
        <w:t>，</w:t>
      </w:r>
      <w:r>
        <w:rPr>
          <w:rFonts w:hint="eastAsia" w:ascii="Times New Roman" w:hAnsi="Times New Roman" w:eastAsia="宋体" w:cs="Times New Roman"/>
          <w:snapToGrid w:val="0"/>
          <w:spacing w:val="-6"/>
          <w:kern w:val="0"/>
          <w:sz w:val="24"/>
          <w:szCs w:val="24"/>
          <w:highlight w:val="none"/>
        </w:rPr>
        <w:t>再加入10 ml 氯化钾溶液混匀以停止氨氧化反应，</w:t>
      </w:r>
      <w:r>
        <w:rPr>
          <w:rFonts w:hint="eastAsia" w:ascii="Times New Roman" w:hAnsi="Times New Roman" w:eastAsia="宋体" w:cs="Times New Roman"/>
          <w:snapToGrid w:val="0"/>
          <w:spacing w:val="-6"/>
          <w:kern w:val="0"/>
          <w:sz w:val="24"/>
          <w:szCs w:val="24"/>
          <w:highlight w:val="none"/>
          <w:lang w:val="en-US" w:eastAsia="zh-CN"/>
        </w:rPr>
        <w:t>间歇性用手摇晃5 min，充分混匀后</w:t>
      </w:r>
      <w:r>
        <w:rPr>
          <w:rFonts w:hint="eastAsia" w:ascii="Times New Roman" w:hAnsi="Times New Roman" w:eastAsia="宋体" w:cs="Times New Roman"/>
          <w:snapToGrid w:val="0"/>
          <w:spacing w:val="-6"/>
          <w:kern w:val="0"/>
          <w:sz w:val="24"/>
          <w:szCs w:val="24"/>
          <w:highlight w:val="none"/>
        </w:rPr>
        <w:t>立即过滤，获得</w:t>
      </w:r>
      <w:r>
        <w:rPr>
          <w:rFonts w:hint="eastAsia" w:ascii="Times New Roman" w:hAnsi="Times New Roman" w:eastAsia="宋体" w:cs="Times New Roman"/>
          <w:snapToGrid w:val="0"/>
          <w:spacing w:val="-6"/>
          <w:kern w:val="0"/>
          <w:sz w:val="24"/>
          <w:szCs w:val="24"/>
          <w:highlight w:val="none"/>
          <w:lang w:val="en-US" w:eastAsia="zh-CN"/>
        </w:rPr>
        <w:t>待测液</w:t>
      </w:r>
      <w:r>
        <w:rPr>
          <w:rFonts w:hint="eastAsia" w:ascii="Times New Roman" w:hAnsi="Times New Roman" w:eastAsia="宋体" w:cs="Times New Roman"/>
          <w:snapToGrid w:val="0"/>
          <w:spacing w:val="-6"/>
          <w:kern w:val="0"/>
          <w:sz w:val="24"/>
          <w:szCs w:val="24"/>
          <w:highlight w:val="none"/>
          <w:lang w:eastAsia="zh-CN"/>
        </w:rPr>
        <w:t>。</w:t>
      </w:r>
      <w:r>
        <w:rPr>
          <w:rFonts w:hint="eastAsia" w:ascii="Times New Roman" w:hAnsi="Times New Roman" w:eastAsia="宋体" w:cs="Times New Roman"/>
          <w:snapToGrid w:val="0"/>
          <w:spacing w:val="-6"/>
          <w:kern w:val="0"/>
          <w:sz w:val="24"/>
          <w:szCs w:val="24"/>
          <w:highlight w:val="none"/>
          <w:lang w:val="en-US" w:eastAsia="zh-CN"/>
        </w:rPr>
        <w:t>同时每检测一批样品均进行4份土壤空白试样测试，土壤空白试样是在培养容器中加入土和</w:t>
      </w:r>
      <w:r>
        <w:rPr>
          <w:rFonts w:hint="eastAsia" w:ascii="Times New Roman" w:hAnsi="Times New Roman" w:eastAsia="宋体" w:cs="Times New Roman"/>
          <w:snapToGrid w:val="0"/>
          <w:spacing w:val="-6"/>
          <w:kern w:val="0"/>
          <w:sz w:val="24"/>
          <w:szCs w:val="24"/>
          <w:highlight w:val="none"/>
        </w:rPr>
        <w:t>100 ml</w:t>
      </w:r>
      <w:r>
        <w:rPr>
          <w:rFonts w:hint="eastAsia" w:ascii="Times New Roman" w:hAnsi="Times New Roman" w:eastAsia="宋体" w:cs="Times New Roman"/>
          <w:snapToGrid w:val="0"/>
          <w:spacing w:val="-6"/>
          <w:kern w:val="0"/>
          <w:sz w:val="24"/>
          <w:szCs w:val="24"/>
          <w:highlight w:val="none"/>
          <w:lang w:val="en-US" w:eastAsia="zh-CN"/>
        </w:rPr>
        <w:t>无肥料氮的空白</w:t>
      </w:r>
      <w:r>
        <w:rPr>
          <w:rFonts w:hint="eastAsia" w:ascii="Times New Roman" w:hAnsi="Times New Roman" w:eastAsia="宋体" w:cs="Times New Roman"/>
          <w:snapToGrid w:val="0"/>
          <w:spacing w:val="-6"/>
          <w:kern w:val="0"/>
          <w:sz w:val="24"/>
          <w:szCs w:val="24"/>
          <w:highlight w:val="none"/>
        </w:rPr>
        <w:t>介质溶液</w:t>
      </w:r>
      <w:r>
        <w:rPr>
          <w:rFonts w:hint="eastAsia" w:ascii="Times New Roman" w:hAnsi="Times New Roman" w:eastAsia="宋体" w:cs="Times New Roman"/>
          <w:snapToGrid w:val="0"/>
          <w:spacing w:val="-6"/>
          <w:kern w:val="0"/>
          <w:sz w:val="24"/>
          <w:szCs w:val="24"/>
          <w:highlight w:val="none"/>
          <w:lang w:eastAsia="zh-CN"/>
        </w:rPr>
        <w:t>，</w:t>
      </w:r>
      <w:r>
        <w:rPr>
          <w:rFonts w:hint="eastAsia" w:ascii="Times New Roman" w:hAnsi="Times New Roman" w:eastAsia="宋体" w:cs="Times New Roman"/>
          <w:snapToGrid w:val="0"/>
          <w:spacing w:val="-6"/>
          <w:kern w:val="0"/>
          <w:sz w:val="24"/>
          <w:szCs w:val="24"/>
          <w:highlight w:val="none"/>
          <w:lang w:val="en-US" w:eastAsia="zh-CN"/>
        </w:rPr>
        <w:t>后续步骤同上。</w:t>
      </w:r>
    </w:p>
    <w:p w14:paraId="580A6EC5">
      <w:pPr>
        <w:keepNext w:val="0"/>
        <w:keepLines w:val="0"/>
        <w:pageBreakBefore w:val="0"/>
        <w:widowControl/>
        <w:kinsoku w:val="0"/>
        <w:wordWrap/>
        <w:overflowPunct/>
        <w:topLinePunct w:val="0"/>
        <w:autoSpaceDE w:val="0"/>
        <w:autoSpaceDN w:val="0"/>
        <w:bidi w:val="0"/>
        <w:adjustRightInd w:val="0"/>
        <w:snapToGrid w:val="0"/>
        <w:spacing w:line="360" w:lineRule="auto"/>
        <w:ind w:firstLine="456" w:firstLineChars="200"/>
        <w:jc w:val="left"/>
        <w:textAlignment w:val="baseline"/>
        <w:rPr>
          <w:rFonts w:ascii="Times New Roman" w:hAnsi="Times New Roman" w:eastAsia="宋体" w:cs="Times New Roman"/>
          <w:snapToGrid w:val="0"/>
          <w:spacing w:val="-6"/>
          <w:kern w:val="0"/>
          <w:sz w:val="24"/>
          <w:szCs w:val="24"/>
        </w:rPr>
      </w:pPr>
      <w:r>
        <w:rPr>
          <w:rFonts w:ascii="Times New Roman" w:hAnsi="Times New Roman" w:eastAsia="宋体" w:cs="Times New Roman"/>
          <w:snapToGrid w:val="0"/>
          <w:spacing w:val="-6"/>
          <w:kern w:val="0"/>
          <w:sz w:val="24"/>
          <w:szCs w:val="24"/>
        </w:rPr>
        <w:t>培养容器中另外的土壤悬浊液继续震荡至</w:t>
      </w:r>
      <w:r>
        <w:rPr>
          <w:rFonts w:hint="eastAsia" w:ascii="Times New Roman" w:hAnsi="Times New Roman" w:eastAsia="宋体" w:cs="Times New Roman"/>
          <w:snapToGrid w:val="0"/>
          <w:spacing w:val="-6"/>
          <w:kern w:val="0"/>
          <w:sz w:val="24"/>
          <w:szCs w:val="24"/>
          <w:lang w:val="en-US" w:eastAsia="zh-CN"/>
        </w:rPr>
        <w:t xml:space="preserve"> </w:t>
      </w:r>
      <w:r>
        <w:rPr>
          <w:rFonts w:ascii="Times New Roman" w:hAnsi="Times New Roman" w:eastAsia="宋体" w:cs="Times New Roman"/>
          <w:snapToGrid w:val="0"/>
          <w:spacing w:val="-6"/>
          <w:kern w:val="0"/>
          <w:sz w:val="24"/>
          <w:szCs w:val="24"/>
        </w:rPr>
        <w:t>6 h，</w:t>
      </w:r>
      <w:r>
        <w:rPr>
          <w:rFonts w:hint="eastAsia" w:ascii="Times New Roman" w:hAnsi="Times New Roman" w:eastAsia="宋体" w:cs="Times New Roman"/>
          <w:snapToGrid w:val="0"/>
          <w:spacing w:val="-6"/>
          <w:kern w:val="0"/>
          <w:sz w:val="24"/>
          <w:szCs w:val="24"/>
        </w:rPr>
        <w:t>随后</w:t>
      </w:r>
      <w:r>
        <w:rPr>
          <w:rFonts w:ascii="Times New Roman" w:hAnsi="Times New Roman" w:eastAsia="宋体" w:cs="Times New Roman"/>
          <w:snapToGrid w:val="0"/>
          <w:spacing w:val="-6"/>
          <w:kern w:val="0"/>
          <w:sz w:val="24"/>
          <w:szCs w:val="24"/>
        </w:rPr>
        <w:t>取出10 ml悬浊液</w:t>
      </w:r>
      <w:r>
        <w:rPr>
          <w:rFonts w:hint="eastAsia" w:ascii="Times New Roman" w:hAnsi="Times New Roman" w:eastAsia="宋体" w:cs="Times New Roman"/>
          <w:snapToGrid w:val="0"/>
          <w:spacing w:val="-6"/>
          <w:kern w:val="0"/>
          <w:sz w:val="24"/>
          <w:szCs w:val="24"/>
        </w:rPr>
        <w:t>置于</w:t>
      </w:r>
      <w:r>
        <w:rPr>
          <w:rFonts w:hint="eastAsia" w:ascii="Times New Roman" w:hAnsi="Times New Roman" w:eastAsia="宋体" w:cs="Times New Roman"/>
          <w:snapToGrid w:val="0"/>
          <w:spacing w:val="-6"/>
          <w:kern w:val="0"/>
          <w:sz w:val="24"/>
          <w:szCs w:val="24"/>
          <w:lang w:val="en-US" w:eastAsia="zh-CN"/>
        </w:rPr>
        <w:t>容器</w:t>
      </w:r>
      <w:r>
        <w:rPr>
          <w:rFonts w:hint="eastAsia" w:ascii="Times New Roman" w:hAnsi="Times New Roman" w:eastAsia="宋体" w:cs="Times New Roman"/>
          <w:snapToGrid w:val="0"/>
          <w:spacing w:val="-6"/>
          <w:kern w:val="0"/>
          <w:sz w:val="24"/>
          <w:szCs w:val="24"/>
        </w:rPr>
        <w:t>中</w:t>
      </w:r>
      <w:r>
        <w:rPr>
          <w:rFonts w:ascii="Times New Roman" w:hAnsi="Times New Roman" w:eastAsia="宋体" w:cs="Times New Roman"/>
          <w:snapToGrid w:val="0"/>
          <w:spacing w:val="-6"/>
          <w:kern w:val="0"/>
          <w:sz w:val="24"/>
          <w:szCs w:val="24"/>
        </w:rPr>
        <w:t>，</w:t>
      </w:r>
      <w:r>
        <w:rPr>
          <w:rFonts w:ascii="Times New Roman" w:hAnsi="Times New Roman" w:eastAsia="宋体" w:cs="Times New Roman"/>
          <w:snapToGrid w:val="0"/>
          <w:spacing w:val="-6"/>
          <w:kern w:val="0"/>
          <w:sz w:val="24"/>
          <w:szCs w:val="24"/>
          <w:u w:val="single"/>
        </w:rPr>
        <w:t>后续步骤</w:t>
      </w:r>
      <w:r>
        <w:rPr>
          <w:rFonts w:ascii="Times New Roman" w:hAnsi="Times New Roman" w:eastAsia="宋体" w:cs="Times New Roman"/>
          <w:snapToGrid w:val="0"/>
          <w:spacing w:val="-6"/>
          <w:kern w:val="0"/>
          <w:sz w:val="24"/>
          <w:szCs w:val="24"/>
        </w:rPr>
        <w:t>同上。</w:t>
      </w:r>
    </w:p>
    <w:p w14:paraId="7F50D655">
      <w:pPr>
        <w:keepNext w:val="0"/>
        <w:keepLines w:val="0"/>
        <w:pageBreakBefore w:val="0"/>
        <w:widowControl/>
        <w:kinsoku w:val="0"/>
        <w:wordWrap/>
        <w:overflowPunct/>
        <w:topLinePunct w:val="0"/>
        <w:autoSpaceDE w:val="0"/>
        <w:autoSpaceDN w:val="0"/>
        <w:bidi w:val="0"/>
        <w:adjustRightInd w:val="0"/>
        <w:snapToGrid w:val="0"/>
        <w:spacing w:line="360" w:lineRule="auto"/>
        <w:ind w:firstLine="456" w:firstLineChars="200"/>
        <w:jc w:val="left"/>
        <w:textAlignment w:val="baseline"/>
        <w:rPr>
          <w:rFonts w:hint="eastAsia" w:ascii="Times New Roman" w:hAnsi="Times New Roman" w:eastAsia="宋体" w:cs="Times New Roman"/>
          <w:snapToGrid w:val="0"/>
          <w:spacing w:val="-6"/>
          <w:kern w:val="0"/>
          <w:sz w:val="24"/>
          <w:szCs w:val="24"/>
        </w:rPr>
      </w:pPr>
      <w:r>
        <w:rPr>
          <w:rFonts w:hint="eastAsia" w:ascii="Times New Roman" w:hAnsi="Times New Roman" w:eastAsia="宋体" w:cs="Times New Roman"/>
          <w:snapToGrid w:val="0"/>
          <w:spacing w:val="-6"/>
          <w:kern w:val="0"/>
          <w:sz w:val="24"/>
          <w:szCs w:val="24"/>
          <w:lang w:val="en-US" w:eastAsia="zh-CN"/>
        </w:rPr>
        <w:t>待测</w:t>
      </w:r>
      <w:r>
        <w:rPr>
          <w:rFonts w:hint="eastAsia" w:ascii="Times New Roman" w:hAnsi="Times New Roman" w:eastAsia="宋体" w:cs="Times New Roman"/>
          <w:snapToGrid w:val="0"/>
          <w:spacing w:val="-6"/>
          <w:kern w:val="0"/>
          <w:sz w:val="24"/>
          <w:szCs w:val="24"/>
        </w:rPr>
        <w:t>液立</w:t>
      </w:r>
      <w:r>
        <w:rPr>
          <w:rFonts w:hint="eastAsia" w:ascii="Times New Roman" w:hAnsi="Times New Roman" w:eastAsia="宋体" w:cs="Times New Roman"/>
          <w:snapToGrid w:val="0"/>
          <w:spacing w:val="-6"/>
          <w:kern w:val="0"/>
          <w:sz w:val="24"/>
          <w:szCs w:val="24"/>
          <w:lang w:val="en-US" w:eastAsia="zh-CN"/>
        </w:rPr>
        <w:t>应</w:t>
      </w:r>
      <w:r>
        <w:rPr>
          <w:rFonts w:hint="eastAsia" w:ascii="Times New Roman" w:hAnsi="Times New Roman" w:eastAsia="宋体" w:cs="Times New Roman"/>
          <w:snapToGrid w:val="0"/>
          <w:spacing w:val="-6"/>
          <w:kern w:val="0"/>
          <w:sz w:val="24"/>
          <w:szCs w:val="24"/>
        </w:rPr>
        <w:t>即测定或者存储于4℃、2</w:t>
      </w:r>
      <w:r>
        <w:rPr>
          <w:rFonts w:ascii="Times New Roman" w:hAnsi="Times New Roman" w:eastAsia="宋体" w:cs="Times New Roman"/>
          <w:snapToGrid w:val="0"/>
          <w:spacing w:val="-6"/>
          <w:kern w:val="0"/>
          <w:sz w:val="24"/>
          <w:szCs w:val="24"/>
        </w:rPr>
        <w:t>4</w:t>
      </w:r>
      <w:r>
        <w:rPr>
          <w:rFonts w:hint="eastAsia" w:ascii="Times New Roman" w:hAnsi="Times New Roman" w:eastAsia="宋体" w:cs="Times New Roman"/>
          <w:snapToGrid w:val="0"/>
          <w:spacing w:val="-6"/>
          <w:kern w:val="0"/>
          <w:sz w:val="24"/>
          <w:szCs w:val="24"/>
        </w:rPr>
        <w:t>h内完成测定。</w:t>
      </w:r>
    </w:p>
    <w:p w14:paraId="61B0015D">
      <w:pPr>
        <w:keepNext w:val="0"/>
        <w:keepLines w:val="0"/>
        <w:pageBreakBefore w:val="0"/>
        <w:widowControl/>
        <w:kinsoku w:val="0"/>
        <w:wordWrap/>
        <w:overflowPunct/>
        <w:topLinePunct w:val="0"/>
        <w:autoSpaceDE w:val="0"/>
        <w:autoSpaceDN w:val="0"/>
        <w:bidi w:val="0"/>
        <w:adjustRightInd w:val="0"/>
        <w:snapToGrid w:val="0"/>
        <w:spacing w:line="360" w:lineRule="auto"/>
        <w:ind w:firstLine="468" w:firstLineChars="200"/>
        <w:jc w:val="left"/>
        <w:textAlignment w:val="baseline"/>
        <w:rPr>
          <w:rFonts w:hint="default" w:ascii="Times New Roman" w:hAnsi="Times New Roman" w:eastAsia="宋体" w:cs="Times New Roman"/>
          <w:snapToGrid w:val="0"/>
          <w:spacing w:val="-6"/>
          <w:kern w:val="0"/>
          <w:sz w:val="24"/>
          <w:szCs w:val="24"/>
          <w:lang w:val="en-US"/>
        </w:rPr>
      </w:pPr>
      <w:r>
        <w:rPr>
          <w:rFonts w:hint="eastAsia" w:ascii="Times New Roman" w:hAnsi="Times New Roman" w:eastAsia="宋体" w:cs="Times New Roman"/>
          <w:b w:val="0"/>
          <w:bCs w:val="0"/>
          <w:snapToGrid w:val="0"/>
          <w:color w:val="auto"/>
          <w:spacing w:val="-3"/>
          <w:kern w:val="0"/>
          <w:sz w:val="24"/>
          <w:szCs w:val="24"/>
          <w:lang w:val="en-US" w:eastAsia="zh-CN"/>
        </w:rPr>
        <w:t>注：土壤pH宜在5.5-7.5之间。</w:t>
      </w:r>
    </w:p>
    <w:p w14:paraId="447B2629">
      <w:pPr>
        <w:keepNext w:val="0"/>
        <w:keepLines w:val="0"/>
        <w:pageBreakBefore w:val="0"/>
        <w:widowControl/>
        <w:numPr>
          <w:ilvl w:val="0"/>
          <w:numId w:val="9"/>
        </w:numPr>
        <w:kinsoku w:val="0"/>
        <w:wordWrap/>
        <w:overflowPunct/>
        <w:topLinePunct w:val="0"/>
        <w:autoSpaceDE w:val="0"/>
        <w:autoSpaceDN w:val="0"/>
        <w:bidi w:val="0"/>
        <w:adjustRightInd w:val="0"/>
        <w:snapToGrid w:val="0"/>
        <w:spacing w:line="360" w:lineRule="auto"/>
        <w:jc w:val="left"/>
        <w:textAlignment w:val="baseline"/>
        <w:outlineLvl w:val="0"/>
        <w:rPr>
          <w:rFonts w:ascii="Times New Roman" w:hAnsi="Times New Roman" w:eastAsia="宋体" w:cs="Times New Roman"/>
          <w:bCs/>
          <w:snapToGrid w:val="0"/>
          <w:spacing w:val="-1"/>
          <w:kern w:val="0"/>
          <w:sz w:val="24"/>
          <w:szCs w:val="24"/>
        </w:rPr>
      </w:pPr>
      <w:r>
        <w:rPr>
          <w:rFonts w:ascii="Times New Roman" w:hAnsi="Times New Roman" w:eastAsia="宋体" w:cs="Times New Roman"/>
          <w:bCs/>
          <w:snapToGrid w:val="0"/>
          <w:spacing w:val="-1"/>
          <w:kern w:val="0"/>
          <w:sz w:val="24"/>
          <w:szCs w:val="24"/>
        </w:rPr>
        <w:t>亚硝态氮系列标准曲线溶液的制定</w:t>
      </w:r>
      <w:r>
        <w:rPr>
          <w:rFonts w:hint="eastAsia" w:ascii="Times New Roman" w:hAnsi="Times New Roman" w:eastAsia="宋体" w:cs="Times New Roman"/>
          <w:bCs/>
          <w:snapToGrid w:val="0"/>
          <w:spacing w:val="-1"/>
          <w:kern w:val="0"/>
          <w:sz w:val="24"/>
          <w:szCs w:val="24"/>
          <w:lang w:val="en-US" w:eastAsia="zh-CN"/>
        </w:rPr>
        <w:t>及</w:t>
      </w:r>
      <w:r>
        <w:rPr>
          <w:rFonts w:ascii="Times New Roman" w:hAnsi="Times New Roman" w:eastAsia="宋体" w:cs="Times New Roman"/>
          <w:bCs/>
          <w:snapToGrid w:val="0"/>
          <w:spacing w:val="-1"/>
          <w:kern w:val="0"/>
          <w:sz w:val="24"/>
          <w:szCs w:val="24"/>
        </w:rPr>
        <w:t>含量测定</w:t>
      </w:r>
    </w:p>
    <w:p w14:paraId="5CE2643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76" w:firstLineChars="200"/>
        <w:jc w:val="left"/>
        <w:textAlignment w:val="baseline"/>
        <w:outlineLvl w:val="0"/>
        <w:rPr>
          <w:rFonts w:hint="eastAsia" w:ascii="Times New Roman" w:hAnsi="Times New Roman" w:eastAsia="宋体" w:cs="Times New Roman"/>
          <w:bCs/>
          <w:snapToGrid w:val="0"/>
          <w:spacing w:val="-1"/>
          <w:kern w:val="0"/>
          <w:sz w:val="24"/>
          <w:szCs w:val="24"/>
          <w:lang w:val="en-US" w:eastAsia="zh-CN"/>
        </w:rPr>
      </w:pPr>
      <w:r>
        <w:rPr>
          <w:rFonts w:hint="eastAsia" w:ascii="Times New Roman" w:hAnsi="Times New Roman" w:eastAsia="宋体" w:cs="Times New Roman"/>
          <w:bCs/>
          <w:snapToGrid w:val="0"/>
          <w:spacing w:val="-1"/>
          <w:kern w:val="0"/>
          <w:sz w:val="24"/>
          <w:szCs w:val="24"/>
          <w:lang w:val="en-US" w:eastAsia="zh-CN"/>
        </w:rPr>
        <w:t>按照GBT42485-2023 《土壤质量 土壤硝态氮、亚硝态氮和铵态氮的测定》中的方法测定亚硝态氮含量，具体步骤如下。</w:t>
      </w:r>
    </w:p>
    <w:p w14:paraId="77146A28">
      <w:pPr>
        <w:keepNext w:val="0"/>
        <w:keepLines w:val="0"/>
        <w:pageBreakBefore w:val="0"/>
        <w:wordWrap/>
        <w:overflowPunct/>
        <w:topLinePunct w:val="0"/>
        <w:bidi w:val="0"/>
        <w:spacing w:line="360" w:lineRule="auto"/>
        <w:ind w:firstLine="480" w:firstLineChars="200"/>
        <w:rPr>
          <w:rFonts w:hint="default" w:ascii="Times New Roman" w:hAnsi="Times New Roman" w:eastAsia="宋体" w:cs="Times New Roman"/>
          <w:sz w:val="24"/>
          <w:szCs w:val="24"/>
          <w:lang w:val="en-US" w:eastAsia="zh-CN"/>
        </w:rPr>
      </w:pPr>
      <w:r>
        <w:rPr>
          <w:rFonts w:ascii="Times New Roman" w:hAnsi="Times New Roman" w:eastAsia="宋体" w:cs="Times New Roman"/>
          <w:sz w:val="24"/>
          <w:szCs w:val="24"/>
        </w:rPr>
        <w:t>分别吸取0、</w:t>
      </w:r>
      <w:r>
        <w:rPr>
          <w:rFonts w:hint="eastAsia" w:ascii="Times New Roman" w:hAnsi="Times New Roman" w:eastAsia="宋体" w:cs="Times New Roman"/>
          <w:sz w:val="24"/>
          <w:szCs w:val="24"/>
          <w:lang w:val="en-US" w:eastAsia="zh-CN"/>
        </w:rPr>
        <w:t>0.25、0.5、1</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2.5</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 xml:space="preserve">5 </w:t>
      </w:r>
      <w:r>
        <w:rPr>
          <w:rFonts w:ascii="Times New Roman" w:hAnsi="Times New Roman" w:eastAsia="宋体" w:cs="Times New Roman"/>
          <w:sz w:val="24"/>
          <w:szCs w:val="24"/>
        </w:rPr>
        <w:t>ml的1 mg/L</w:t>
      </w:r>
      <w:r>
        <w:rPr>
          <w:rFonts w:hint="eastAsia" w:ascii="Times New Roman" w:hAnsi="Times New Roman" w:eastAsia="宋体" w:cs="Times New Roman"/>
          <w:sz w:val="24"/>
          <w:szCs w:val="24"/>
          <w:lang w:val="en-US" w:eastAsia="zh-CN"/>
        </w:rPr>
        <w:t>的亚硝态氮</w:t>
      </w:r>
      <w:r>
        <w:rPr>
          <w:rFonts w:ascii="Times New Roman" w:hAnsi="Times New Roman" w:eastAsia="宋体" w:cs="Times New Roman"/>
          <w:sz w:val="24"/>
          <w:szCs w:val="24"/>
        </w:rPr>
        <w:t>标准</w:t>
      </w:r>
      <w:r>
        <w:rPr>
          <w:rFonts w:hint="eastAsia" w:ascii="Times New Roman" w:hAnsi="Times New Roman" w:eastAsia="宋体" w:cs="Times New Roman"/>
          <w:sz w:val="24"/>
          <w:szCs w:val="24"/>
          <w:lang w:val="en-US" w:eastAsia="zh-CN"/>
        </w:rPr>
        <w:t>溶液</w:t>
      </w:r>
      <w:r>
        <w:rPr>
          <w:rFonts w:ascii="Times New Roman" w:hAnsi="Times New Roman" w:eastAsia="宋体" w:cs="Times New Roman"/>
          <w:sz w:val="24"/>
          <w:szCs w:val="24"/>
        </w:rPr>
        <w:t>于</w:t>
      </w:r>
      <w:r>
        <w:rPr>
          <w:rFonts w:hint="eastAsia" w:ascii="Times New Roman" w:hAnsi="Times New Roman" w:eastAsia="宋体" w:cs="Times New Roman"/>
          <w:sz w:val="24"/>
          <w:szCs w:val="24"/>
          <w:lang w:val="en-US" w:eastAsia="zh-CN"/>
        </w:rPr>
        <w:t xml:space="preserve">50 </w:t>
      </w:r>
      <w:r>
        <w:rPr>
          <w:rFonts w:ascii="Times New Roman" w:hAnsi="Times New Roman" w:eastAsia="宋体" w:cs="Times New Roman"/>
          <w:sz w:val="24"/>
          <w:szCs w:val="24"/>
        </w:rPr>
        <w:t>ml容量瓶中</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同时，分别吸取</w:t>
      </w:r>
      <w:r>
        <w:rPr>
          <w:rFonts w:hint="eastAsia" w:ascii="Times New Roman" w:hAnsi="Times New Roman" w:eastAsia="宋体" w:cs="Times New Roman"/>
          <w:b/>
          <w:bCs/>
          <w:sz w:val="24"/>
          <w:szCs w:val="24"/>
          <w:lang w:val="en-US" w:eastAsia="zh-CN"/>
        </w:rPr>
        <w:t>5</w:t>
      </w:r>
      <w:r>
        <w:rPr>
          <w:rFonts w:hint="eastAsia" w:ascii="Times New Roman" w:hAnsi="Times New Roman" w:eastAsia="宋体" w:cs="Times New Roman"/>
          <w:sz w:val="24"/>
          <w:szCs w:val="24"/>
          <w:lang w:val="en-US" w:eastAsia="zh-CN"/>
        </w:rPr>
        <w:t>.00 ml样品待测液</w:t>
      </w:r>
      <w:r>
        <w:rPr>
          <w:rFonts w:hint="eastAsia" w:ascii="Times New Roman" w:hAnsi="Times New Roman" w:eastAsia="宋体" w:cs="Times New Roman"/>
          <w:color w:val="auto"/>
          <w:sz w:val="24"/>
          <w:szCs w:val="24"/>
          <w:lang w:val="en-US" w:eastAsia="zh-CN"/>
        </w:rPr>
        <w:t>和</w:t>
      </w:r>
      <w:r>
        <w:rPr>
          <w:rFonts w:hint="eastAsia" w:ascii="Times New Roman" w:hAnsi="Times New Roman" w:eastAsia="宋体" w:cs="Times New Roman"/>
          <w:sz w:val="24"/>
          <w:szCs w:val="24"/>
          <w:lang w:val="en-US" w:eastAsia="zh-CN"/>
        </w:rPr>
        <w:t>空白待测液于另一组50 ml容量瓶中。每个容量瓶中均加水至40 ml</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混匀后添加</w:t>
      </w:r>
      <w:r>
        <w:rPr>
          <w:rFonts w:hint="eastAsia" w:ascii="Times New Roman" w:hAnsi="Times New Roman" w:eastAsia="宋体" w:cs="Times New Roman"/>
          <w:sz w:val="24"/>
          <w:szCs w:val="24"/>
          <w:highlight w:val="none"/>
          <w:lang w:val="en-US" w:eastAsia="zh-CN"/>
        </w:rPr>
        <w:t>显色剂0.46 ml</w:t>
      </w:r>
      <w:r>
        <w:rPr>
          <w:rFonts w:hint="eastAsia" w:ascii="Times New Roman" w:hAnsi="Times New Roman" w:eastAsia="宋体" w:cs="Times New Roman"/>
          <w:sz w:val="24"/>
          <w:szCs w:val="24"/>
          <w:lang w:val="en-US" w:eastAsia="zh-CN"/>
        </w:rPr>
        <w:t>，</w:t>
      </w:r>
      <w:r>
        <w:rPr>
          <w:rFonts w:ascii="Times New Roman" w:hAnsi="Times New Roman" w:eastAsia="宋体" w:cs="Times New Roman"/>
          <w:sz w:val="24"/>
          <w:szCs w:val="24"/>
        </w:rPr>
        <w:t>用蒸馏水定容</w:t>
      </w:r>
      <w:r>
        <w:rPr>
          <w:rFonts w:hint="eastAsia" w:ascii="Times New Roman" w:hAnsi="Times New Roman" w:eastAsia="宋体" w:cs="Times New Roman"/>
          <w:sz w:val="24"/>
          <w:szCs w:val="24"/>
          <w:lang w:val="en-US" w:eastAsia="zh-CN"/>
        </w:rPr>
        <w:t>后混匀。</w:t>
      </w:r>
      <w:r>
        <w:rPr>
          <w:rFonts w:hint="eastAsia" w:ascii="Times New Roman" w:hAnsi="Times New Roman" w:eastAsia="宋体" w:cs="Times New Roman"/>
          <w:sz w:val="24"/>
          <w:szCs w:val="24"/>
          <w:highlight w:val="none"/>
          <w:lang w:val="en-US" w:eastAsia="zh-CN"/>
        </w:rPr>
        <w:t>定容后</w:t>
      </w:r>
      <w:r>
        <w:rPr>
          <w:rFonts w:ascii="Times New Roman" w:hAnsi="Times New Roman" w:eastAsia="宋体" w:cs="Times New Roman"/>
          <w:sz w:val="24"/>
          <w:szCs w:val="24"/>
          <w:highlight w:val="none"/>
        </w:rPr>
        <w:t>获得获得亚硝态氮含量分别为</w:t>
      </w:r>
      <w:r>
        <w:rPr>
          <w:rFonts w:hint="eastAsia" w:ascii="Times New Roman" w:hAnsi="Times New Roman" w:eastAsia="宋体" w:cs="Times New Roman"/>
          <w:sz w:val="24"/>
          <w:szCs w:val="24"/>
          <w:highlight w:val="none"/>
        </w:rPr>
        <w:t>0、0.005、0.01、0.02、0.0</w:t>
      </w:r>
      <w:r>
        <w:rPr>
          <w:rFonts w:hint="eastAsia" w:ascii="Times New Roman" w:hAnsi="Times New Roman" w:eastAsia="宋体" w:cs="Times New Roman"/>
          <w:sz w:val="24"/>
          <w:szCs w:val="24"/>
          <w:highlight w:val="none"/>
          <w:lang w:val="en-US" w:eastAsia="zh-CN"/>
        </w:rPr>
        <w:t>5</w:t>
      </w:r>
      <w:r>
        <w:rPr>
          <w:rFonts w:hint="eastAsia" w:ascii="Times New Roman" w:hAnsi="Times New Roman" w:eastAsia="宋体" w:cs="Times New Roman"/>
          <w:sz w:val="24"/>
          <w:szCs w:val="24"/>
          <w:highlight w:val="none"/>
        </w:rPr>
        <w:t>、0.</w:t>
      </w:r>
      <w:r>
        <w:rPr>
          <w:rFonts w:hint="eastAsia" w:ascii="Times New Roman" w:hAnsi="Times New Roman" w:eastAsia="宋体" w:cs="Times New Roman"/>
          <w:sz w:val="24"/>
          <w:szCs w:val="24"/>
          <w:highlight w:val="none"/>
          <w:lang w:val="en-US" w:eastAsia="zh-CN"/>
        </w:rPr>
        <w:t>1</w:t>
      </w:r>
      <w:r>
        <w:rPr>
          <w:rFonts w:ascii="Times New Roman" w:hAnsi="Times New Roman" w:eastAsia="宋体" w:cs="Times New Roman"/>
          <w:sz w:val="24"/>
          <w:szCs w:val="24"/>
        </w:rPr>
        <w:t xml:space="preserve"> mg/L</w:t>
      </w:r>
      <w:r>
        <w:rPr>
          <w:rFonts w:hint="eastAsia" w:ascii="Times New Roman" w:hAnsi="Times New Roman" w:eastAsia="宋体" w:cs="Times New Roman"/>
          <w:sz w:val="24"/>
          <w:szCs w:val="24"/>
          <w:lang w:val="en-US" w:eastAsia="zh-CN"/>
        </w:rPr>
        <w:t>的亚硝态氮</w:t>
      </w:r>
      <w:r>
        <w:rPr>
          <w:rFonts w:ascii="Times New Roman" w:hAnsi="Times New Roman" w:eastAsia="宋体" w:cs="Times New Roman"/>
          <w:sz w:val="24"/>
          <w:szCs w:val="24"/>
        </w:rPr>
        <w:t>标准系列溶液</w:t>
      </w:r>
      <w:r>
        <w:rPr>
          <w:rFonts w:hint="eastAsia" w:ascii="Times New Roman" w:hAnsi="Times New Roman" w:eastAsia="宋体" w:cs="Times New Roman"/>
          <w:sz w:val="24"/>
          <w:szCs w:val="24"/>
          <w:lang w:val="en-US" w:eastAsia="zh-CN"/>
        </w:rPr>
        <w:t>以及样品测定溶液和空白测定溶液</w:t>
      </w:r>
      <w:r>
        <w:rPr>
          <w:rFonts w:hint="eastAsia" w:ascii="Times New Roman" w:hAnsi="Times New Roman" w:eastAsia="宋体" w:cs="Times New Roman"/>
          <w:sz w:val="24"/>
          <w:szCs w:val="24"/>
          <w:lang w:eastAsia="zh-CN"/>
        </w:rPr>
        <w:t>。</w:t>
      </w:r>
    </w:p>
    <w:p w14:paraId="3D95A4D2">
      <w:pPr>
        <w:keepNext w:val="0"/>
        <w:keepLines w:val="0"/>
        <w:pageBreakBefore w:val="0"/>
        <w:wordWrap/>
        <w:overflowPunct/>
        <w:topLinePunct w:val="0"/>
        <w:bidi w:val="0"/>
        <w:spacing w:line="360" w:lineRule="auto"/>
        <w:ind w:firstLine="480" w:firstLineChars="200"/>
        <w:rPr>
          <w:rFonts w:hint="eastAsia" w:ascii="Times New Roman" w:hAnsi="Times New Roman" w:eastAsia="宋体" w:cs="Times New Roman"/>
          <w:snapToGrid w:val="0"/>
          <w:spacing w:val="-6"/>
          <w:kern w:val="0"/>
          <w:sz w:val="24"/>
          <w:szCs w:val="24"/>
        </w:rPr>
      </w:pPr>
      <w:r>
        <w:rPr>
          <w:rFonts w:hint="eastAsia" w:ascii="Times New Roman" w:hAnsi="Times New Roman" w:eastAsia="宋体" w:cs="Times New Roman"/>
          <w:sz w:val="24"/>
          <w:szCs w:val="24"/>
          <w:lang w:val="en-US" w:eastAsia="zh-CN"/>
        </w:rPr>
        <w:t>定容溶液室温下静置60-90 min后（避光显色），使用分光光度计在543 nm波长下测定标准曲线、样品和空白待测液显色后的吸光值。以亚硝态氮含量（</w:t>
      </w:r>
      <w:r>
        <w:rPr>
          <w:rFonts w:ascii="Times New Roman" w:hAnsi="Times New Roman" w:eastAsia="宋体" w:cs="Times New Roman"/>
          <w:b w:val="0"/>
          <w:bCs w:val="0"/>
          <w:snapToGrid w:val="0"/>
          <w:color w:val="auto"/>
          <w:spacing w:val="-6"/>
          <w:kern w:val="0"/>
          <w:sz w:val="24"/>
          <w:szCs w:val="24"/>
        </w:rPr>
        <w:t>mg/L</w:t>
      </w:r>
      <w:r>
        <w:rPr>
          <w:rFonts w:hint="eastAsia" w:ascii="Times New Roman" w:hAnsi="Times New Roman" w:eastAsia="宋体" w:cs="Times New Roman"/>
          <w:sz w:val="24"/>
          <w:szCs w:val="24"/>
          <w:lang w:val="en-US" w:eastAsia="zh-CN"/>
        </w:rPr>
        <w:t>）为纵坐标，扣除零浓度的校正吸光值为横坐标，绘制标准曲线。</w:t>
      </w:r>
      <w:r>
        <w:rPr>
          <w:rFonts w:hint="eastAsia" w:ascii="Times New Roman" w:hAnsi="Times New Roman" w:eastAsia="宋体" w:cs="Times New Roman"/>
          <w:snapToGrid w:val="0"/>
          <w:spacing w:val="-6"/>
          <w:kern w:val="0"/>
          <w:sz w:val="24"/>
          <w:szCs w:val="24"/>
        </w:rPr>
        <w:t>根据标准曲线公式计算</w:t>
      </w:r>
      <w:r>
        <w:rPr>
          <w:rFonts w:hint="eastAsia" w:ascii="Times New Roman" w:hAnsi="Times New Roman" w:eastAsia="宋体" w:cs="Times New Roman"/>
          <w:snapToGrid w:val="0"/>
          <w:spacing w:val="-6"/>
          <w:kern w:val="0"/>
          <w:sz w:val="24"/>
          <w:szCs w:val="24"/>
          <w:lang w:val="en-US" w:eastAsia="zh-CN"/>
        </w:rPr>
        <w:t>待测液</w:t>
      </w:r>
      <w:r>
        <w:rPr>
          <w:rFonts w:hint="eastAsia" w:ascii="Times New Roman" w:hAnsi="Times New Roman" w:eastAsia="宋体" w:cs="Times New Roman"/>
          <w:snapToGrid w:val="0"/>
          <w:spacing w:val="-6"/>
          <w:kern w:val="0"/>
          <w:sz w:val="24"/>
          <w:szCs w:val="24"/>
        </w:rPr>
        <w:t>中</w:t>
      </w:r>
      <w:r>
        <w:rPr>
          <w:rFonts w:hint="eastAsia" w:ascii="Times New Roman" w:hAnsi="Times New Roman" w:eastAsia="宋体" w:cs="Times New Roman"/>
          <w:sz w:val="24"/>
          <w:szCs w:val="24"/>
          <w:lang w:val="en-US" w:eastAsia="zh-CN"/>
        </w:rPr>
        <w:t>亚硝态氮</w:t>
      </w:r>
      <w:r>
        <w:rPr>
          <w:rFonts w:hint="eastAsia" w:ascii="Times New Roman" w:hAnsi="Times New Roman" w:eastAsia="宋体" w:cs="Times New Roman"/>
          <w:sz w:val="24"/>
          <w:szCs w:val="24"/>
        </w:rPr>
        <w:t>含量</w:t>
      </w:r>
      <w:r>
        <w:rPr>
          <w:rFonts w:hint="eastAsia" w:ascii="Times New Roman" w:hAnsi="Times New Roman" w:eastAsia="宋体" w:cs="Times New Roman"/>
          <w:snapToGrid w:val="0"/>
          <w:spacing w:val="-6"/>
          <w:kern w:val="0"/>
          <w:sz w:val="24"/>
          <w:szCs w:val="24"/>
        </w:rPr>
        <w:t>。</w:t>
      </w:r>
    </w:p>
    <w:p w14:paraId="113E2A12">
      <w:pPr>
        <w:keepNext w:val="0"/>
        <w:keepLines w:val="0"/>
        <w:pageBreakBefore w:val="0"/>
        <w:wordWrap/>
        <w:overflowPunct/>
        <w:topLinePunct w:val="0"/>
        <w:bidi w:val="0"/>
        <w:spacing w:line="360" w:lineRule="auto"/>
        <w:ind w:firstLine="456" w:firstLineChars="200"/>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snapToGrid w:val="0"/>
          <w:spacing w:val="-6"/>
          <w:kern w:val="0"/>
          <w:sz w:val="24"/>
          <w:szCs w:val="24"/>
          <w:lang w:val="en-US" w:eastAsia="zh-CN"/>
        </w:rPr>
        <w:t>如果土壤浸提液中的亚硝态氮浓度超过标准曲线范围，则使用空白介质溶液适当的稀释浸提液，并重新测定。</w:t>
      </w:r>
    </w:p>
    <w:p w14:paraId="2E9193CD">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6.1.3.3 结果计算</w:t>
      </w:r>
    </w:p>
    <w:p w14:paraId="7FD008D6">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ascii="Times New Roman" w:hAnsi="Times New Roman" w:eastAsia="宋体" w:cs="Times New Roman"/>
          <w:snapToGrid w:val="0"/>
          <w:color w:val="auto"/>
          <w:spacing w:val="-8"/>
          <w:kern w:val="0"/>
          <w:sz w:val="24"/>
          <w:szCs w:val="24"/>
        </w:rPr>
      </w:pPr>
      <w:r>
        <w:rPr>
          <w:rFonts w:hint="eastAsia" w:ascii="Times New Roman" w:hAnsi="Times New Roman" w:eastAsia="宋体" w:cs="Times New Roman"/>
          <w:snapToGrid w:val="0"/>
          <w:color w:val="auto"/>
          <w:spacing w:val="-8"/>
          <w:kern w:val="0"/>
          <w:sz w:val="24"/>
          <w:szCs w:val="24"/>
        </w:rPr>
        <w:t>（1）</w:t>
      </w:r>
      <w:r>
        <w:rPr>
          <w:rFonts w:ascii="Times New Roman" w:hAnsi="Times New Roman" w:eastAsia="宋体" w:cs="Times New Roman"/>
          <w:snapToGrid w:val="0"/>
          <w:color w:val="auto"/>
          <w:spacing w:val="-8"/>
          <w:kern w:val="0"/>
          <w:sz w:val="24"/>
          <w:szCs w:val="24"/>
        </w:rPr>
        <w:t>亚硝态氮含量的计算</w:t>
      </w:r>
    </w:p>
    <w:p w14:paraId="1F8F5299">
      <w:pPr>
        <w:keepNext w:val="0"/>
        <w:keepLines w:val="0"/>
        <w:pageBreakBefore w:val="0"/>
        <w:widowControl/>
        <w:kinsoku w:val="0"/>
        <w:wordWrap/>
        <w:overflowPunct/>
        <w:topLinePunct w:val="0"/>
        <w:autoSpaceDE w:val="0"/>
        <w:autoSpaceDN w:val="0"/>
        <w:bidi w:val="0"/>
        <w:adjustRightInd w:val="0"/>
        <w:snapToGrid w:val="0"/>
        <w:spacing w:line="360" w:lineRule="auto"/>
        <w:ind w:firstLine="468" w:firstLineChars="200"/>
        <w:jc w:val="left"/>
        <w:textAlignment w:val="baseline"/>
        <w:rPr>
          <w:rFonts w:ascii="Times New Roman" w:hAnsi="Times New Roman" w:eastAsia="宋体" w:cs="Times New Roman"/>
          <w:b w:val="0"/>
          <w:bCs w:val="0"/>
          <w:snapToGrid w:val="0"/>
          <w:color w:val="auto"/>
          <w:spacing w:val="-3"/>
          <w:kern w:val="0"/>
          <w:sz w:val="24"/>
          <w:szCs w:val="24"/>
        </w:rPr>
      </w:pPr>
      <w:r>
        <w:rPr>
          <w:rFonts w:ascii="Times New Roman" w:hAnsi="Times New Roman" w:eastAsia="宋体" w:cs="Times New Roman"/>
          <w:snapToGrid w:val="0"/>
          <w:spacing w:val="-3"/>
          <w:kern w:val="0"/>
          <w:sz w:val="24"/>
          <w:szCs w:val="24"/>
        </w:rPr>
        <w:t>从标准曲线上查得待测液的亚硝态氮含量后</w:t>
      </w:r>
      <w:r>
        <w:rPr>
          <w:rFonts w:ascii="Times New Roman" w:hAnsi="Times New Roman" w:eastAsia="宋体" w:cs="Times New Roman"/>
          <w:snapToGrid w:val="0"/>
          <w:color w:val="auto"/>
          <w:spacing w:val="-3"/>
          <w:kern w:val="0"/>
          <w:sz w:val="24"/>
          <w:szCs w:val="24"/>
        </w:rPr>
        <w:t>，</w:t>
      </w:r>
      <w:r>
        <w:rPr>
          <w:rFonts w:ascii="Times New Roman" w:hAnsi="Times New Roman" w:eastAsia="宋体" w:cs="Times New Roman"/>
          <w:b w:val="0"/>
          <w:bCs w:val="0"/>
          <w:snapToGrid w:val="0"/>
          <w:color w:val="auto"/>
          <w:spacing w:val="-3"/>
          <w:kern w:val="0"/>
          <w:sz w:val="24"/>
          <w:szCs w:val="24"/>
        </w:rPr>
        <w:t>按式（</w:t>
      </w:r>
      <w:r>
        <w:rPr>
          <w:rFonts w:hint="eastAsia" w:ascii="Times New Roman" w:hAnsi="Times New Roman" w:eastAsia="宋体" w:cs="Times New Roman"/>
          <w:b w:val="0"/>
          <w:bCs w:val="0"/>
          <w:snapToGrid w:val="0"/>
          <w:color w:val="auto"/>
          <w:spacing w:val="-3"/>
          <w:kern w:val="0"/>
          <w:sz w:val="24"/>
          <w:szCs w:val="24"/>
          <w:lang w:val="en-US" w:eastAsia="zh-CN"/>
        </w:rPr>
        <w:t>1</w:t>
      </w:r>
      <w:r>
        <w:rPr>
          <w:rFonts w:ascii="Times New Roman" w:hAnsi="Times New Roman" w:eastAsia="宋体" w:cs="Times New Roman"/>
          <w:b w:val="0"/>
          <w:bCs w:val="0"/>
          <w:snapToGrid w:val="0"/>
          <w:color w:val="auto"/>
          <w:spacing w:val="-3"/>
          <w:kern w:val="0"/>
          <w:sz w:val="24"/>
          <w:szCs w:val="24"/>
        </w:rPr>
        <w:t>）计算土壤中亚硝态氮的含量w,</w:t>
      </w:r>
      <w:r>
        <w:rPr>
          <w:rFonts w:ascii="Times New Roman" w:hAnsi="Times New Roman" w:eastAsia="宋体" w:cs="Times New Roman"/>
          <w:b w:val="0"/>
          <w:bCs w:val="0"/>
          <w:snapToGrid w:val="0"/>
          <w:color w:val="auto"/>
          <w:spacing w:val="-11"/>
          <w:kern w:val="0"/>
          <w:sz w:val="24"/>
          <w:szCs w:val="24"/>
        </w:rPr>
        <w:t xml:space="preserve"> 单位是</w:t>
      </w:r>
      <w:r>
        <w:rPr>
          <w:rFonts w:ascii="Times New Roman" w:hAnsi="Times New Roman" w:eastAsia="宋体" w:cs="Times New Roman"/>
          <w:b w:val="0"/>
          <w:bCs w:val="0"/>
          <w:snapToGrid w:val="0"/>
          <w:color w:val="auto"/>
          <w:spacing w:val="-3"/>
          <w:kern w:val="0"/>
          <w:sz w:val="24"/>
          <w:szCs w:val="24"/>
        </w:rPr>
        <w:t>mg</w:t>
      </w:r>
      <w:r>
        <w:rPr>
          <w:rFonts w:hint="eastAsia" w:ascii="Times New Roman" w:hAnsi="Times New Roman" w:eastAsia="宋体" w:cs="Times New Roman"/>
          <w:b w:val="0"/>
          <w:bCs w:val="0"/>
          <w:snapToGrid w:val="0"/>
          <w:color w:val="auto"/>
          <w:spacing w:val="-3"/>
          <w:kern w:val="0"/>
          <w:sz w:val="24"/>
          <w:szCs w:val="24"/>
          <w:lang w:val="en-US" w:eastAsia="zh-CN"/>
        </w:rPr>
        <w:t>/</w:t>
      </w:r>
      <w:r>
        <w:rPr>
          <w:rFonts w:ascii="Times New Roman" w:hAnsi="Times New Roman" w:eastAsia="宋体" w:cs="Times New Roman"/>
          <w:b w:val="0"/>
          <w:bCs w:val="0"/>
          <w:snapToGrid w:val="0"/>
          <w:color w:val="auto"/>
          <w:spacing w:val="-3"/>
          <w:kern w:val="0"/>
          <w:sz w:val="24"/>
          <w:szCs w:val="24"/>
        </w:rPr>
        <w:t>kg：</w:t>
      </w:r>
    </w:p>
    <w:p w14:paraId="1BE1C457">
      <w:pPr>
        <w:keepNext w:val="0"/>
        <w:keepLines w:val="0"/>
        <w:pageBreakBefore w:val="0"/>
        <w:widowControl/>
        <w:kinsoku w:val="0"/>
        <w:wordWrap/>
        <w:overflowPunct/>
        <w:topLinePunct w:val="0"/>
        <w:autoSpaceDE w:val="0"/>
        <w:autoSpaceDN w:val="0"/>
        <w:bidi w:val="0"/>
        <w:adjustRightInd w:val="0"/>
        <w:snapToGrid w:val="0"/>
        <w:spacing w:line="360" w:lineRule="auto"/>
        <w:ind w:firstLine="470" w:firstLineChars="200"/>
        <w:jc w:val="left"/>
        <w:textAlignment w:val="baseline"/>
        <w:rPr>
          <w:rFonts w:hint="eastAsia" w:ascii="Times New Roman" w:hAnsi="Times New Roman" w:eastAsia="宋体" w:cs="Times New Roman"/>
          <w:b w:val="0"/>
          <w:bCs w:val="0"/>
          <w:snapToGrid w:val="0"/>
          <w:color w:val="auto"/>
          <w:kern w:val="0"/>
          <w:sz w:val="24"/>
          <w:szCs w:val="24"/>
        </w:rPr>
      </w:pPr>
      <w:r>
        <w:rPr>
          <w:rFonts w:ascii="Times New Roman" w:hAnsi="Times New Roman" w:eastAsia="宋体" w:cs="Times New Roman"/>
          <w:b/>
          <w:bCs/>
          <w:snapToGrid w:val="0"/>
          <w:color w:val="auto"/>
          <w:spacing w:val="-3"/>
          <w:kern w:val="0"/>
          <w:sz w:val="24"/>
          <w:szCs w:val="24"/>
        </w:rPr>
        <w:t>土壤亚硝态氮含量=</w:t>
      </w:r>
      <m:oMath>
        <m:r>
          <m:rPr>
            <m:sty m:val="b"/>
          </m:rPr>
          <w:rPr>
            <w:rFonts w:hint="default" w:ascii="Cambria Math" w:hAnsi="Cambria Math" w:eastAsia="宋体" w:cs="Times New Roman"/>
            <w:snapToGrid w:val="0"/>
            <w:color w:val="auto"/>
            <w:spacing w:val="-3"/>
            <w:kern w:val="0"/>
            <w:sz w:val="24"/>
            <w:szCs w:val="24"/>
          </w:rPr>
          <m:t>p</m:t>
        </m:r>
        <m:r>
          <m:rPr>
            <m:sty m:val="bi"/>
          </m:rPr>
          <w:rPr>
            <w:rFonts w:ascii="Cambria Math" w:hAnsi="Cambria Math" w:eastAsia="宋体" w:cs="Times New Roman"/>
            <w:snapToGrid w:val="0"/>
            <w:color w:val="auto"/>
            <w:spacing w:val="-1"/>
            <w:kern w:val="0"/>
            <w:sz w:val="24"/>
            <w:szCs w:val="24"/>
          </w:rPr>
          <m:t>×</m:t>
        </m:r>
        <m:f>
          <m:fPr>
            <m:ctrlPr>
              <w:rPr>
                <w:rFonts w:ascii="Cambria Math" w:hAnsi="Cambria Math" w:eastAsia="宋体" w:cs="Times New Roman"/>
                <w:b/>
                <w:bCs/>
                <w:i/>
                <w:snapToGrid w:val="0"/>
                <w:color w:val="auto"/>
                <w:spacing w:val="-1"/>
                <w:kern w:val="0"/>
                <w:sz w:val="24"/>
                <w:szCs w:val="24"/>
              </w:rPr>
            </m:ctrlPr>
          </m:fPr>
          <m:num>
            <m:r>
              <m:rPr>
                <m:sty m:val="bi"/>
              </m:rPr>
              <w:rPr>
                <w:rFonts w:hint="default" w:ascii="Cambria Math" w:hAnsi="Cambria Math" w:eastAsia="宋体" w:cs="Times New Roman"/>
                <w:snapToGrid w:val="0"/>
                <w:color w:val="auto"/>
                <w:spacing w:val="-1"/>
                <w:kern w:val="0"/>
                <w:sz w:val="24"/>
                <w:szCs w:val="24"/>
              </w:rPr>
              <m:t>V2</m:t>
            </m:r>
            <m:ctrlPr>
              <w:rPr>
                <w:rFonts w:ascii="Cambria Math" w:hAnsi="Cambria Math" w:eastAsia="宋体" w:cs="Times New Roman"/>
                <w:b/>
                <w:bCs/>
                <w:i/>
                <w:snapToGrid w:val="0"/>
                <w:color w:val="auto"/>
                <w:spacing w:val="-1"/>
                <w:kern w:val="0"/>
                <w:sz w:val="24"/>
                <w:szCs w:val="24"/>
              </w:rPr>
            </m:ctrlPr>
          </m:num>
          <m:den>
            <m:r>
              <m:rPr>
                <m:sty m:val="bi"/>
              </m:rPr>
              <w:rPr>
                <w:rFonts w:hint="default" w:ascii="Cambria Math" w:hAnsi="Cambria Math" w:eastAsia="宋体" w:cs="Times New Roman"/>
                <w:snapToGrid w:val="0"/>
                <w:color w:val="auto"/>
                <w:spacing w:val="-1"/>
                <w:kern w:val="0"/>
                <w:sz w:val="24"/>
                <w:szCs w:val="24"/>
              </w:rPr>
              <m:t>m</m:t>
            </m:r>
            <m:ctrlPr>
              <w:rPr>
                <w:rFonts w:ascii="Cambria Math" w:hAnsi="Cambria Math" w:eastAsia="宋体" w:cs="Times New Roman"/>
                <w:b/>
                <w:bCs/>
                <w:i/>
                <w:snapToGrid w:val="0"/>
                <w:color w:val="auto"/>
                <w:spacing w:val="-1"/>
                <w:kern w:val="0"/>
                <w:sz w:val="24"/>
                <w:szCs w:val="24"/>
              </w:rPr>
            </m:ctrlPr>
          </m:den>
        </m:f>
        <m:r>
          <m:rPr>
            <m:sty m:val="bi"/>
          </m:rPr>
          <w:rPr>
            <w:rFonts w:ascii="Cambria Math" w:hAnsi="Cambria Math" w:eastAsia="宋体" w:cs="Times New Roman"/>
            <w:snapToGrid w:val="0"/>
            <w:color w:val="auto"/>
            <w:spacing w:val="-1"/>
            <w:kern w:val="0"/>
            <w:sz w:val="24"/>
            <w:szCs w:val="24"/>
          </w:rPr>
          <m:t>×</m:t>
        </m:r>
        <m:f>
          <m:fPr>
            <m:ctrlPr>
              <w:rPr>
                <w:rFonts w:ascii="Cambria Math" w:hAnsi="Cambria Math" w:eastAsia="宋体" w:cs="Times New Roman"/>
                <w:b/>
                <w:bCs/>
                <w:i/>
                <w:snapToGrid w:val="0"/>
                <w:color w:val="auto"/>
                <w:spacing w:val="-1"/>
                <w:kern w:val="0"/>
                <w:sz w:val="24"/>
                <w:szCs w:val="24"/>
              </w:rPr>
            </m:ctrlPr>
          </m:fPr>
          <m:num>
            <m:r>
              <m:rPr>
                <m:sty m:val="bi"/>
              </m:rPr>
              <w:rPr>
                <w:rFonts w:hint="default" w:ascii="Cambria Math" w:hAnsi="Cambria Math" w:eastAsia="宋体" w:cs="Times New Roman"/>
                <w:snapToGrid w:val="0"/>
                <w:color w:val="auto"/>
                <w:spacing w:val="-1"/>
                <w:kern w:val="0"/>
                <w:sz w:val="24"/>
                <w:szCs w:val="24"/>
              </w:rPr>
              <m:t>V</m:t>
            </m:r>
            <m:ctrlPr>
              <w:rPr>
                <w:rFonts w:ascii="Cambria Math" w:hAnsi="Cambria Math" w:eastAsia="宋体" w:cs="Times New Roman"/>
                <w:b/>
                <w:bCs/>
                <w:i/>
                <w:snapToGrid w:val="0"/>
                <w:color w:val="auto"/>
                <w:spacing w:val="-1"/>
                <w:kern w:val="0"/>
                <w:sz w:val="24"/>
                <w:szCs w:val="24"/>
              </w:rPr>
            </m:ctrlPr>
          </m:num>
          <m:den>
            <m:r>
              <m:rPr>
                <m:sty m:val="bi"/>
              </m:rPr>
              <w:rPr>
                <w:rFonts w:hint="default" w:ascii="Cambria Math" w:hAnsi="Cambria Math" w:eastAsia="宋体" w:cs="Times New Roman"/>
                <w:snapToGrid w:val="0"/>
                <w:color w:val="auto"/>
                <w:spacing w:val="-1"/>
                <w:kern w:val="0"/>
                <w:sz w:val="24"/>
                <w:szCs w:val="24"/>
              </w:rPr>
              <m:t>V1</m:t>
            </m:r>
            <m:ctrlPr>
              <w:rPr>
                <w:rFonts w:ascii="Cambria Math" w:hAnsi="Cambria Math" w:eastAsia="宋体" w:cs="Times New Roman"/>
                <w:b/>
                <w:bCs/>
                <w:i/>
                <w:snapToGrid w:val="0"/>
                <w:color w:val="auto"/>
                <w:spacing w:val="-1"/>
                <w:kern w:val="0"/>
                <w:sz w:val="24"/>
                <w:szCs w:val="24"/>
              </w:rPr>
            </m:ctrlPr>
          </m:den>
        </m:f>
        <m:r>
          <m:rPr>
            <m:sty m:val="bi"/>
          </m:rPr>
          <w:rPr>
            <w:rFonts w:hint="default" w:ascii="Cambria Math" w:hAnsi="Cambria Math" w:eastAsia="宋体" w:cs="Times New Roman"/>
            <w:snapToGrid w:val="0"/>
            <w:color w:val="auto"/>
            <w:spacing w:val="-1"/>
            <w:kern w:val="0"/>
            <w:sz w:val="24"/>
            <w:szCs w:val="24"/>
          </w:rPr>
          <m:t>×2×</m:t>
        </m:r>
        <m:r>
          <m:rPr>
            <m:nor/>
            <m:sty m:val="b"/>
          </m:rPr>
          <w:rPr>
            <w:rFonts w:hint="eastAsia" w:ascii="Times New Roman" w:hAnsi="Times New Roman" w:eastAsia="宋体" w:cs="Times New Roman"/>
            <w:b/>
            <w:bCs/>
            <w:i w:val="0"/>
            <w:snapToGrid w:val="0"/>
            <w:color w:val="auto"/>
            <w:spacing w:val="-1"/>
            <w:kern w:val="0"/>
            <w:sz w:val="24"/>
            <w:szCs w:val="24"/>
          </w:rPr>
          <m:t>（</m:t>
        </m:r>
        <m:r>
          <m:rPr>
            <m:nor/>
            <m:sty m:val="b"/>
          </m:rPr>
          <w:rPr>
            <w:rFonts w:hint="eastAsia" w:ascii="Cambria Math" w:hAnsi="Cambria Math" w:eastAsia="宋体" w:cs="Times New Roman"/>
            <w:b/>
            <w:bCs/>
            <w:i w:val="0"/>
            <w:snapToGrid w:val="0"/>
            <w:color w:val="auto"/>
            <w:spacing w:val="-1"/>
            <w:kern w:val="0"/>
            <w:sz w:val="24"/>
            <w:szCs w:val="24"/>
          </w:rPr>
          <m:t>1</m:t>
        </m:r>
        <m:r>
          <m:rPr>
            <m:nor/>
            <m:sty m:val="b"/>
          </m:rPr>
          <w:rPr>
            <w:rFonts w:ascii="Cambria Math" w:hAnsi="Cambria Math" w:eastAsia="宋体" w:cs="Times New Roman"/>
            <w:b/>
            <w:bCs/>
            <w:i w:val="0"/>
            <w:snapToGrid w:val="0"/>
            <w:color w:val="auto"/>
            <w:spacing w:val="-1"/>
            <w:kern w:val="0"/>
            <w:sz w:val="24"/>
            <w:szCs w:val="24"/>
          </w:rPr>
          <m:t>+</m:t>
        </m:r>
        <m:f>
          <m:fPr>
            <m:ctrlPr>
              <w:rPr>
                <w:rFonts w:ascii="Cambria Math" w:hAnsi="Cambria Math" w:eastAsia="宋体" w:cs="Times New Roman"/>
                <w:b/>
                <w:bCs/>
                <w:i/>
                <w:snapToGrid w:val="0"/>
                <w:color w:val="auto"/>
                <w:spacing w:val="-1"/>
                <w:kern w:val="0"/>
                <w:sz w:val="24"/>
                <w:szCs w:val="24"/>
              </w:rPr>
            </m:ctrlPr>
          </m:fPr>
          <m:num>
            <m:r>
              <m:rPr>
                <m:sty m:val="bi"/>
              </m:rPr>
              <w:rPr>
                <w:rFonts w:hint="default" w:ascii="Cambria Math" w:hAnsi="Cambria Math" w:eastAsia="宋体" w:cs="Times New Roman"/>
                <w:snapToGrid w:val="0"/>
                <w:color w:val="auto"/>
                <w:spacing w:val="-1"/>
                <w:kern w:val="0"/>
                <w:sz w:val="24"/>
                <w:szCs w:val="24"/>
              </w:rPr>
              <m:t>w</m:t>
            </m:r>
            <m:ctrlPr>
              <w:rPr>
                <w:rFonts w:ascii="Cambria Math" w:hAnsi="Cambria Math" w:eastAsia="宋体" w:cs="Times New Roman"/>
                <w:b/>
                <w:bCs/>
                <w:i/>
                <w:snapToGrid w:val="0"/>
                <w:color w:val="auto"/>
                <w:spacing w:val="-1"/>
                <w:kern w:val="0"/>
                <w:sz w:val="24"/>
                <w:szCs w:val="24"/>
              </w:rPr>
            </m:ctrlPr>
          </m:num>
          <m:den>
            <m:r>
              <m:rPr>
                <m:sty m:val="bi"/>
              </m:rPr>
              <w:rPr>
                <w:rFonts w:hint="default" w:ascii="Cambria Math" w:hAnsi="Cambria Math" w:eastAsia="宋体" w:cs="Times New Roman"/>
                <w:snapToGrid w:val="0"/>
                <w:color w:val="auto"/>
                <w:spacing w:val="-1"/>
                <w:kern w:val="0"/>
                <w:sz w:val="24"/>
                <w:szCs w:val="24"/>
              </w:rPr>
              <m:t>100</m:t>
            </m:r>
            <m:ctrlPr>
              <w:rPr>
                <w:rFonts w:ascii="Cambria Math" w:hAnsi="Cambria Math" w:eastAsia="宋体" w:cs="Times New Roman"/>
                <w:b/>
                <w:bCs/>
                <w:i/>
                <w:snapToGrid w:val="0"/>
                <w:color w:val="auto"/>
                <w:spacing w:val="-1"/>
                <w:kern w:val="0"/>
                <w:sz w:val="24"/>
                <w:szCs w:val="24"/>
              </w:rPr>
            </m:ctrlPr>
          </m:den>
        </m:f>
        <m:r>
          <m:rPr>
            <m:sty m:val="b"/>
          </m:rPr>
          <w:rPr>
            <w:rFonts w:hint="eastAsia" w:ascii="Cambria Math" w:hAnsi="Cambria Math" w:eastAsia="宋体" w:cs="Times New Roman"/>
            <w:snapToGrid w:val="0"/>
            <w:color w:val="auto"/>
            <w:spacing w:val="-1"/>
            <w:kern w:val="0"/>
            <w:sz w:val="24"/>
            <w:szCs w:val="24"/>
          </w:rPr>
          <m:t>）</m:t>
        </m:r>
      </m:oMath>
      <w:r>
        <w:rPr>
          <w:rFonts w:ascii="Times New Roman" w:hAnsi="Times New Roman" w:eastAsia="宋体" w:cs="Times New Roman"/>
          <w:b/>
          <w:bCs/>
          <w:snapToGrid w:val="0"/>
          <w:color w:val="auto"/>
          <w:spacing w:val="-3"/>
          <w:kern w:val="0"/>
          <w:sz w:val="24"/>
          <w:szCs w:val="24"/>
        </w:rPr>
        <w:t xml:space="preserve"> </w:t>
      </w:r>
      <w:r>
        <w:rPr>
          <w:rFonts w:ascii="Times New Roman" w:hAnsi="Times New Roman" w:eastAsia="宋体" w:cs="Times New Roman"/>
          <w:b w:val="0"/>
          <w:bCs w:val="0"/>
          <w:snapToGrid w:val="0"/>
          <w:color w:val="auto"/>
          <w:spacing w:val="-3"/>
          <w:kern w:val="0"/>
          <w:sz w:val="24"/>
          <w:szCs w:val="24"/>
        </w:rPr>
        <w:t>…………………………</w:t>
      </w:r>
      <w:r>
        <w:rPr>
          <w:rFonts w:ascii="Times New Roman" w:hAnsi="Times New Roman" w:eastAsia="宋体" w:cs="Times New Roman"/>
          <w:b w:val="0"/>
          <w:bCs w:val="0"/>
          <w:snapToGrid w:val="0"/>
          <w:color w:val="auto"/>
          <w:spacing w:val="-56"/>
          <w:kern w:val="0"/>
          <w:sz w:val="24"/>
          <w:szCs w:val="24"/>
        </w:rPr>
        <w:t xml:space="preserve"> </w:t>
      </w:r>
      <w:r>
        <w:rPr>
          <w:rFonts w:ascii="Times New Roman" w:hAnsi="Times New Roman" w:eastAsia="宋体" w:cs="Times New Roman"/>
          <w:b w:val="0"/>
          <w:bCs w:val="0"/>
          <w:snapToGrid w:val="0"/>
          <w:color w:val="auto"/>
          <w:spacing w:val="-15"/>
          <w:kern w:val="0"/>
          <w:sz w:val="24"/>
          <w:szCs w:val="24"/>
        </w:rPr>
        <w:t>(</w:t>
      </w:r>
      <w:r>
        <w:rPr>
          <w:b w:val="0"/>
          <w:bCs w:val="0"/>
          <w:color w:val="auto"/>
          <w:sz w:val="24"/>
          <w:szCs w:val="24"/>
        </w:rPr>
        <w:fldChar w:fldCharType="begin"/>
      </w:r>
      <w:r>
        <w:rPr>
          <w:b w:val="0"/>
          <w:bCs w:val="0"/>
          <w:color w:val="auto"/>
          <w:sz w:val="24"/>
          <w:szCs w:val="24"/>
        </w:rPr>
        <w:instrText xml:space="preserve"> HYPERLINK \l "_bookmark3" </w:instrText>
      </w:r>
      <w:r>
        <w:rPr>
          <w:b w:val="0"/>
          <w:bCs w:val="0"/>
          <w:color w:val="auto"/>
          <w:sz w:val="24"/>
          <w:szCs w:val="24"/>
        </w:rPr>
        <w:fldChar w:fldCharType="separate"/>
      </w:r>
      <w:r>
        <w:rPr>
          <w:rFonts w:hint="eastAsia" w:ascii="Times New Roman" w:hAnsi="Times New Roman" w:eastAsia="宋体" w:cs="Times New Roman"/>
          <w:b w:val="0"/>
          <w:bCs w:val="0"/>
          <w:snapToGrid w:val="0"/>
          <w:color w:val="auto"/>
          <w:spacing w:val="-15"/>
          <w:kern w:val="0"/>
          <w:sz w:val="24"/>
          <w:szCs w:val="24"/>
          <w:lang w:val="en-US" w:eastAsia="zh-CN"/>
        </w:rPr>
        <w:t>1</w:t>
      </w:r>
      <w:r>
        <w:rPr>
          <w:rFonts w:ascii="Times New Roman" w:hAnsi="Times New Roman" w:eastAsia="宋体" w:cs="Times New Roman"/>
          <w:b w:val="0"/>
          <w:bCs w:val="0"/>
          <w:snapToGrid w:val="0"/>
          <w:color w:val="auto"/>
          <w:spacing w:val="-15"/>
          <w:kern w:val="0"/>
          <w:sz w:val="24"/>
          <w:szCs w:val="24"/>
        </w:rPr>
        <w:t>)</w:t>
      </w:r>
      <w:r>
        <w:rPr>
          <w:rFonts w:ascii="Times New Roman" w:hAnsi="Times New Roman" w:eastAsia="宋体" w:cs="Times New Roman"/>
          <w:b w:val="0"/>
          <w:bCs w:val="0"/>
          <w:snapToGrid w:val="0"/>
          <w:color w:val="auto"/>
          <w:spacing w:val="-15"/>
          <w:kern w:val="0"/>
          <w:sz w:val="24"/>
          <w:szCs w:val="24"/>
        </w:rPr>
        <w:fldChar w:fldCharType="end"/>
      </w:r>
    </w:p>
    <w:p w14:paraId="4E06A3E0">
      <w:pPr>
        <w:keepNext w:val="0"/>
        <w:keepLines w:val="0"/>
        <w:pageBreakBefore w:val="0"/>
        <w:widowControl/>
        <w:kinsoku w:val="0"/>
        <w:wordWrap/>
        <w:overflowPunct/>
        <w:topLinePunct w:val="0"/>
        <w:autoSpaceDE w:val="0"/>
        <w:autoSpaceDN w:val="0"/>
        <w:bidi w:val="0"/>
        <w:adjustRightInd w:val="0"/>
        <w:snapToGrid w:val="0"/>
        <w:spacing w:line="360" w:lineRule="auto"/>
        <w:ind w:firstLine="456" w:firstLineChars="200"/>
        <w:jc w:val="left"/>
        <w:textAlignment w:val="baseline"/>
        <w:rPr>
          <w:rFonts w:ascii="Times New Roman" w:hAnsi="Times New Roman" w:eastAsia="宋体" w:cs="Times New Roman"/>
          <w:b w:val="0"/>
          <w:bCs w:val="0"/>
          <w:snapToGrid w:val="0"/>
          <w:color w:val="auto"/>
          <w:spacing w:val="-6"/>
          <w:kern w:val="0"/>
          <w:sz w:val="24"/>
          <w:szCs w:val="24"/>
        </w:rPr>
      </w:pPr>
      <w:r>
        <w:rPr>
          <w:rFonts w:ascii="Times New Roman" w:hAnsi="Times New Roman" w:eastAsia="宋体" w:cs="Times New Roman"/>
          <w:b w:val="0"/>
          <w:bCs w:val="0"/>
          <w:snapToGrid w:val="0"/>
          <w:color w:val="auto"/>
          <w:spacing w:val="-6"/>
          <w:kern w:val="0"/>
          <w:sz w:val="24"/>
          <w:szCs w:val="24"/>
        </w:rPr>
        <w:t>式中：</w:t>
      </w:r>
    </w:p>
    <w:p w14:paraId="78DAEB3B">
      <w:pPr>
        <w:keepNext w:val="0"/>
        <w:keepLines w:val="0"/>
        <w:pageBreakBefore w:val="0"/>
        <w:widowControl/>
        <w:kinsoku w:val="0"/>
        <w:wordWrap/>
        <w:overflowPunct/>
        <w:topLinePunct w:val="0"/>
        <w:autoSpaceDE w:val="0"/>
        <w:autoSpaceDN w:val="0"/>
        <w:bidi w:val="0"/>
        <w:adjustRightInd w:val="0"/>
        <w:snapToGrid w:val="0"/>
        <w:spacing w:line="360" w:lineRule="auto"/>
        <w:ind w:firstLine="456" w:firstLineChars="200"/>
        <w:jc w:val="left"/>
        <w:textAlignment w:val="baseline"/>
        <w:rPr>
          <w:rFonts w:ascii="Times New Roman" w:hAnsi="Times New Roman" w:eastAsia="宋体" w:cs="Times New Roman"/>
          <w:b w:val="0"/>
          <w:bCs w:val="0"/>
          <w:snapToGrid w:val="0"/>
          <w:color w:val="auto"/>
          <w:spacing w:val="-6"/>
          <w:kern w:val="0"/>
          <w:sz w:val="24"/>
          <w:szCs w:val="24"/>
        </w:rPr>
      </w:pPr>
      <w:r>
        <w:rPr>
          <w:rFonts w:ascii="Times New Roman" w:hAnsi="Times New Roman" w:eastAsia="宋体" w:cs="Times New Roman"/>
          <w:b w:val="0"/>
          <w:bCs w:val="0"/>
          <w:snapToGrid w:val="0"/>
          <w:color w:val="auto"/>
          <w:spacing w:val="-6"/>
          <w:kern w:val="0"/>
          <w:sz w:val="24"/>
          <w:szCs w:val="24"/>
        </w:rPr>
        <w:t>p—待测液中的亚硝态氮浓度（mg/L）；</w:t>
      </w:r>
    </w:p>
    <w:p w14:paraId="59E225E1">
      <w:pPr>
        <w:keepNext w:val="0"/>
        <w:keepLines w:val="0"/>
        <w:pageBreakBefore w:val="0"/>
        <w:widowControl/>
        <w:kinsoku w:val="0"/>
        <w:wordWrap/>
        <w:overflowPunct/>
        <w:topLinePunct w:val="0"/>
        <w:autoSpaceDE w:val="0"/>
        <w:autoSpaceDN w:val="0"/>
        <w:bidi w:val="0"/>
        <w:adjustRightInd w:val="0"/>
        <w:snapToGrid w:val="0"/>
        <w:spacing w:line="360" w:lineRule="auto"/>
        <w:ind w:firstLine="456" w:firstLineChars="200"/>
        <w:jc w:val="left"/>
        <w:textAlignment w:val="baseline"/>
        <w:rPr>
          <w:rFonts w:ascii="Times New Roman" w:hAnsi="Times New Roman" w:eastAsia="宋体" w:cs="Times New Roman"/>
          <w:b w:val="0"/>
          <w:bCs w:val="0"/>
          <w:snapToGrid w:val="0"/>
          <w:color w:val="auto"/>
          <w:kern w:val="0"/>
          <w:sz w:val="24"/>
          <w:szCs w:val="24"/>
        </w:rPr>
      </w:pPr>
      <w:r>
        <w:rPr>
          <w:rFonts w:ascii="Times New Roman" w:hAnsi="Times New Roman" w:eastAsia="宋体" w:cs="Times New Roman"/>
          <w:b w:val="0"/>
          <w:bCs w:val="0"/>
          <w:snapToGrid w:val="0"/>
          <w:color w:val="auto"/>
          <w:spacing w:val="-6"/>
          <w:kern w:val="0"/>
          <w:sz w:val="24"/>
          <w:szCs w:val="24"/>
        </w:rPr>
        <w:t>m—土样质量（g）；</w:t>
      </w:r>
    </w:p>
    <w:p w14:paraId="0C270A36">
      <w:pPr>
        <w:keepNext w:val="0"/>
        <w:keepLines w:val="0"/>
        <w:pageBreakBefore w:val="0"/>
        <w:widowControl/>
        <w:kinsoku w:val="0"/>
        <w:wordWrap/>
        <w:overflowPunct/>
        <w:topLinePunct w:val="0"/>
        <w:autoSpaceDE w:val="0"/>
        <w:autoSpaceDN w:val="0"/>
        <w:bidi w:val="0"/>
        <w:adjustRightInd w:val="0"/>
        <w:snapToGrid w:val="0"/>
        <w:spacing w:line="360" w:lineRule="auto"/>
        <w:ind w:firstLine="456" w:firstLineChars="200"/>
        <w:jc w:val="left"/>
        <w:textAlignment w:val="baseline"/>
        <w:rPr>
          <w:rFonts w:ascii="Times New Roman" w:hAnsi="Times New Roman" w:eastAsia="宋体" w:cs="Times New Roman"/>
          <w:b w:val="0"/>
          <w:bCs w:val="0"/>
          <w:snapToGrid w:val="0"/>
          <w:color w:val="auto"/>
          <w:kern w:val="0"/>
          <w:sz w:val="24"/>
          <w:szCs w:val="24"/>
        </w:rPr>
      </w:pPr>
      <w:r>
        <w:rPr>
          <w:rFonts w:ascii="Times New Roman" w:hAnsi="Times New Roman" w:eastAsia="宋体" w:cs="Times New Roman"/>
          <w:b w:val="0"/>
          <w:bCs w:val="0"/>
          <w:snapToGrid w:val="0"/>
          <w:color w:val="auto"/>
          <w:spacing w:val="-6"/>
          <w:kern w:val="0"/>
          <w:sz w:val="24"/>
          <w:szCs w:val="24"/>
        </w:rPr>
        <w:t>V—样品制备溶液的体积（</w:t>
      </w:r>
      <w:r>
        <w:rPr>
          <w:rFonts w:hint="eastAsia" w:ascii="Times New Roman" w:hAnsi="Times New Roman" w:eastAsia="宋体" w:cs="Times New Roman"/>
          <w:b w:val="0"/>
          <w:bCs w:val="0"/>
          <w:snapToGrid w:val="0"/>
          <w:color w:val="auto"/>
          <w:spacing w:val="-6"/>
          <w:kern w:val="0"/>
          <w:sz w:val="24"/>
          <w:szCs w:val="24"/>
        </w:rPr>
        <w:t>1</w:t>
      </w:r>
      <w:r>
        <w:rPr>
          <w:rFonts w:ascii="Times New Roman" w:hAnsi="Times New Roman" w:eastAsia="宋体" w:cs="Times New Roman"/>
          <w:b w:val="0"/>
          <w:bCs w:val="0"/>
          <w:snapToGrid w:val="0"/>
          <w:color w:val="auto"/>
          <w:spacing w:val="-6"/>
          <w:kern w:val="0"/>
          <w:sz w:val="24"/>
          <w:szCs w:val="24"/>
        </w:rPr>
        <w:t>00 mL</w:t>
      </w:r>
      <w:r>
        <w:rPr>
          <w:rFonts w:ascii="Times New Roman" w:hAnsi="Times New Roman" w:eastAsia="宋体" w:cs="Times New Roman"/>
          <w:b w:val="0"/>
          <w:bCs w:val="0"/>
          <w:snapToGrid w:val="0"/>
          <w:color w:val="auto"/>
          <w:spacing w:val="-7"/>
          <w:kern w:val="0"/>
          <w:sz w:val="24"/>
          <w:szCs w:val="24"/>
        </w:rPr>
        <w:t>）；</w:t>
      </w:r>
    </w:p>
    <w:p w14:paraId="00D16516">
      <w:pPr>
        <w:keepNext w:val="0"/>
        <w:keepLines w:val="0"/>
        <w:pageBreakBefore w:val="0"/>
        <w:widowControl/>
        <w:kinsoku w:val="0"/>
        <w:wordWrap/>
        <w:overflowPunct/>
        <w:topLinePunct w:val="0"/>
        <w:autoSpaceDE w:val="0"/>
        <w:autoSpaceDN w:val="0"/>
        <w:bidi w:val="0"/>
        <w:adjustRightInd w:val="0"/>
        <w:snapToGrid w:val="0"/>
        <w:spacing w:line="360" w:lineRule="auto"/>
        <w:ind w:firstLine="456" w:firstLineChars="200"/>
        <w:jc w:val="left"/>
        <w:textAlignment w:val="baseline"/>
        <w:rPr>
          <w:rFonts w:ascii="Times New Roman" w:hAnsi="Times New Roman" w:eastAsia="宋体" w:cs="Times New Roman"/>
          <w:b w:val="0"/>
          <w:bCs w:val="0"/>
          <w:snapToGrid w:val="0"/>
          <w:color w:val="auto"/>
          <w:kern w:val="0"/>
          <w:sz w:val="24"/>
          <w:szCs w:val="24"/>
        </w:rPr>
      </w:pPr>
      <w:r>
        <w:rPr>
          <w:rFonts w:ascii="Times New Roman" w:hAnsi="Times New Roman" w:eastAsia="宋体" w:cs="Times New Roman"/>
          <w:b w:val="0"/>
          <w:bCs w:val="0"/>
          <w:snapToGrid w:val="0"/>
          <w:color w:val="auto"/>
          <w:spacing w:val="-6"/>
          <w:kern w:val="0"/>
          <w:sz w:val="24"/>
          <w:szCs w:val="24"/>
        </w:rPr>
        <w:t>V</w:t>
      </w:r>
      <w:r>
        <w:rPr>
          <w:rFonts w:ascii="Times New Roman" w:hAnsi="Times New Roman" w:eastAsia="宋体" w:cs="Times New Roman"/>
          <w:b w:val="0"/>
          <w:bCs w:val="0"/>
          <w:snapToGrid w:val="0"/>
          <w:color w:val="auto"/>
          <w:spacing w:val="-6"/>
          <w:kern w:val="0"/>
          <w:sz w:val="24"/>
          <w:szCs w:val="24"/>
          <w:vertAlign w:val="subscript"/>
        </w:rPr>
        <w:t>1</w:t>
      </w:r>
      <w:r>
        <w:rPr>
          <w:rFonts w:ascii="Times New Roman" w:hAnsi="Times New Roman" w:eastAsia="宋体" w:cs="Times New Roman"/>
          <w:b w:val="0"/>
          <w:bCs w:val="0"/>
          <w:snapToGrid w:val="0"/>
          <w:color w:val="auto"/>
          <w:spacing w:val="-6"/>
          <w:kern w:val="0"/>
          <w:sz w:val="24"/>
          <w:szCs w:val="24"/>
        </w:rPr>
        <w:t>—吸取的待测液体积（</w:t>
      </w:r>
      <w:r>
        <w:rPr>
          <w:rFonts w:hint="eastAsia" w:ascii="Times New Roman" w:hAnsi="Times New Roman" w:eastAsia="宋体" w:cs="Times New Roman"/>
          <w:b w:val="0"/>
          <w:bCs w:val="0"/>
          <w:snapToGrid w:val="0"/>
          <w:color w:val="auto"/>
          <w:spacing w:val="-6"/>
          <w:kern w:val="0"/>
          <w:sz w:val="24"/>
          <w:szCs w:val="24"/>
        </w:rPr>
        <w:t>5</w:t>
      </w:r>
      <w:r>
        <w:rPr>
          <w:rFonts w:ascii="Times New Roman" w:hAnsi="Times New Roman" w:eastAsia="宋体" w:cs="Times New Roman"/>
          <w:b w:val="0"/>
          <w:bCs w:val="0"/>
          <w:snapToGrid w:val="0"/>
          <w:color w:val="auto"/>
          <w:spacing w:val="-6"/>
          <w:kern w:val="0"/>
          <w:sz w:val="24"/>
          <w:szCs w:val="24"/>
        </w:rPr>
        <w:t xml:space="preserve"> mL</w:t>
      </w:r>
      <w:r>
        <w:rPr>
          <w:rFonts w:ascii="Times New Roman" w:hAnsi="Times New Roman" w:eastAsia="宋体" w:cs="Times New Roman"/>
          <w:b w:val="0"/>
          <w:bCs w:val="0"/>
          <w:snapToGrid w:val="0"/>
          <w:color w:val="auto"/>
          <w:spacing w:val="-7"/>
          <w:kern w:val="0"/>
          <w:sz w:val="24"/>
          <w:szCs w:val="24"/>
        </w:rPr>
        <w:t>）；</w:t>
      </w:r>
    </w:p>
    <w:p w14:paraId="13182059">
      <w:pPr>
        <w:keepNext w:val="0"/>
        <w:keepLines w:val="0"/>
        <w:pageBreakBefore w:val="0"/>
        <w:widowControl/>
        <w:kinsoku w:val="0"/>
        <w:wordWrap/>
        <w:overflowPunct/>
        <w:topLinePunct w:val="0"/>
        <w:autoSpaceDE w:val="0"/>
        <w:autoSpaceDN w:val="0"/>
        <w:bidi w:val="0"/>
        <w:adjustRightInd w:val="0"/>
        <w:snapToGrid w:val="0"/>
        <w:spacing w:line="360" w:lineRule="auto"/>
        <w:ind w:firstLine="452" w:firstLineChars="200"/>
        <w:jc w:val="left"/>
        <w:textAlignment w:val="baseline"/>
        <w:rPr>
          <w:rFonts w:ascii="Times New Roman" w:hAnsi="Times New Roman" w:eastAsia="宋体" w:cs="Times New Roman"/>
          <w:b w:val="0"/>
          <w:bCs w:val="0"/>
          <w:snapToGrid w:val="0"/>
          <w:color w:val="auto"/>
          <w:spacing w:val="-7"/>
          <w:kern w:val="0"/>
          <w:sz w:val="24"/>
          <w:szCs w:val="24"/>
        </w:rPr>
      </w:pPr>
      <w:r>
        <w:rPr>
          <w:rFonts w:ascii="Times New Roman" w:hAnsi="Times New Roman" w:eastAsia="宋体" w:cs="Times New Roman"/>
          <w:b w:val="0"/>
          <w:bCs w:val="0"/>
          <w:snapToGrid w:val="0"/>
          <w:color w:val="auto"/>
          <w:spacing w:val="-7"/>
          <w:kern w:val="0"/>
          <w:sz w:val="24"/>
          <w:szCs w:val="24"/>
        </w:rPr>
        <w:t>V</w:t>
      </w:r>
      <w:r>
        <w:rPr>
          <w:rFonts w:ascii="Times New Roman" w:hAnsi="Times New Roman" w:eastAsia="宋体" w:cs="Times New Roman"/>
          <w:b w:val="0"/>
          <w:bCs w:val="0"/>
          <w:snapToGrid w:val="0"/>
          <w:color w:val="auto"/>
          <w:spacing w:val="-7"/>
          <w:kern w:val="0"/>
          <w:sz w:val="24"/>
          <w:szCs w:val="24"/>
          <w:vertAlign w:val="subscript"/>
        </w:rPr>
        <w:t>2</w:t>
      </w:r>
      <w:r>
        <w:rPr>
          <w:rFonts w:ascii="Times New Roman" w:hAnsi="Times New Roman" w:eastAsia="宋体" w:cs="Times New Roman"/>
          <w:b w:val="0"/>
          <w:bCs w:val="0"/>
          <w:snapToGrid w:val="0"/>
          <w:color w:val="auto"/>
          <w:spacing w:val="-7"/>
          <w:kern w:val="0"/>
          <w:sz w:val="24"/>
          <w:szCs w:val="24"/>
        </w:rPr>
        <w:t>—</w:t>
      </w:r>
      <w:r>
        <w:rPr>
          <w:rFonts w:ascii="Times New Roman" w:hAnsi="Times New Roman" w:eastAsia="宋体" w:cs="Times New Roman"/>
          <w:b w:val="0"/>
          <w:bCs w:val="0"/>
          <w:snapToGrid w:val="0"/>
          <w:color w:val="auto"/>
          <w:spacing w:val="-6"/>
          <w:kern w:val="0"/>
          <w:sz w:val="24"/>
          <w:szCs w:val="24"/>
        </w:rPr>
        <w:t>比色溶液溶液的体积（</w:t>
      </w:r>
      <w:r>
        <w:rPr>
          <w:rFonts w:hint="eastAsia" w:ascii="Times New Roman" w:hAnsi="Times New Roman" w:eastAsia="宋体" w:cs="Times New Roman"/>
          <w:b w:val="0"/>
          <w:bCs w:val="0"/>
          <w:snapToGrid w:val="0"/>
          <w:color w:val="auto"/>
          <w:spacing w:val="-6"/>
          <w:kern w:val="0"/>
          <w:sz w:val="24"/>
          <w:szCs w:val="24"/>
        </w:rPr>
        <w:t>1</w:t>
      </w:r>
      <w:r>
        <w:rPr>
          <w:rFonts w:ascii="Times New Roman" w:hAnsi="Times New Roman" w:eastAsia="宋体" w:cs="Times New Roman"/>
          <w:b w:val="0"/>
          <w:bCs w:val="0"/>
          <w:snapToGrid w:val="0"/>
          <w:color w:val="auto"/>
          <w:spacing w:val="-6"/>
          <w:kern w:val="0"/>
          <w:sz w:val="24"/>
          <w:szCs w:val="24"/>
        </w:rPr>
        <w:t>0 mL</w:t>
      </w:r>
      <w:r>
        <w:rPr>
          <w:rFonts w:ascii="Times New Roman" w:hAnsi="Times New Roman" w:eastAsia="宋体" w:cs="Times New Roman"/>
          <w:b w:val="0"/>
          <w:bCs w:val="0"/>
          <w:snapToGrid w:val="0"/>
          <w:color w:val="auto"/>
          <w:spacing w:val="-7"/>
          <w:kern w:val="0"/>
          <w:sz w:val="24"/>
          <w:szCs w:val="24"/>
        </w:rPr>
        <w:t>）；</w:t>
      </w:r>
    </w:p>
    <w:p w14:paraId="4467702B">
      <w:pPr>
        <w:keepNext w:val="0"/>
        <w:keepLines w:val="0"/>
        <w:pageBreakBefore w:val="0"/>
        <w:widowControl/>
        <w:kinsoku w:val="0"/>
        <w:wordWrap/>
        <w:overflowPunct/>
        <w:topLinePunct w:val="0"/>
        <w:autoSpaceDE w:val="0"/>
        <w:autoSpaceDN w:val="0"/>
        <w:bidi w:val="0"/>
        <w:adjustRightInd w:val="0"/>
        <w:snapToGrid w:val="0"/>
        <w:spacing w:line="360" w:lineRule="auto"/>
        <w:ind w:firstLine="452" w:firstLineChars="200"/>
        <w:jc w:val="left"/>
        <w:textAlignment w:val="baseline"/>
        <w:rPr>
          <w:rFonts w:hint="eastAsia" w:ascii="Times New Roman" w:hAnsi="Times New Roman" w:eastAsia="宋体" w:cs="Times New Roman"/>
          <w:b w:val="0"/>
          <w:bCs w:val="0"/>
          <w:snapToGrid w:val="0"/>
          <w:color w:val="auto"/>
          <w:spacing w:val="-7"/>
          <w:kern w:val="0"/>
          <w:sz w:val="24"/>
          <w:szCs w:val="24"/>
        </w:rPr>
      </w:pPr>
      <w:r>
        <w:rPr>
          <w:rFonts w:ascii="Times New Roman" w:hAnsi="Times New Roman" w:eastAsia="宋体" w:cs="Times New Roman"/>
          <w:b w:val="0"/>
          <w:bCs w:val="0"/>
          <w:snapToGrid w:val="0"/>
          <w:color w:val="auto"/>
          <w:spacing w:val="-7"/>
          <w:kern w:val="0"/>
          <w:sz w:val="24"/>
          <w:szCs w:val="24"/>
        </w:rPr>
        <w:t>2—</w:t>
      </w:r>
      <w:r>
        <w:rPr>
          <w:rFonts w:hint="eastAsia" w:ascii="Times New Roman" w:hAnsi="Times New Roman" w:eastAsia="宋体" w:cs="Times New Roman"/>
          <w:b w:val="0"/>
          <w:bCs w:val="0"/>
          <w:snapToGrid w:val="0"/>
          <w:color w:val="auto"/>
          <w:spacing w:val="-7"/>
          <w:kern w:val="0"/>
          <w:sz w:val="24"/>
          <w:szCs w:val="24"/>
        </w:rPr>
        <w:t>由于加入氯化钾溶液后的</w:t>
      </w:r>
      <w:r>
        <w:rPr>
          <w:rFonts w:hint="eastAsia" w:ascii="Times New Roman" w:hAnsi="Times New Roman" w:eastAsia="宋体" w:cs="Times New Roman"/>
          <w:b w:val="0"/>
          <w:bCs w:val="0"/>
          <w:snapToGrid w:val="0"/>
          <w:color w:val="auto"/>
          <w:spacing w:val="-6"/>
          <w:kern w:val="0"/>
          <w:sz w:val="24"/>
          <w:szCs w:val="24"/>
        </w:rPr>
        <w:t>稀释倍数</w:t>
      </w:r>
      <w:r>
        <w:rPr>
          <w:rFonts w:ascii="Times New Roman" w:hAnsi="Times New Roman" w:eastAsia="宋体" w:cs="Times New Roman"/>
          <w:b w:val="0"/>
          <w:bCs w:val="0"/>
          <w:snapToGrid w:val="0"/>
          <w:color w:val="auto"/>
          <w:spacing w:val="-7"/>
          <w:kern w:val="0"/>
          <w:sz w:val="24"/>
          <w:szCs w:val="24"/>
        </w:rPr>
        <w:t>；</w:t>
      </w:r>
    </w:p>
    <w:p w14:paraId="3A779DE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ascii="Times New Roman" w:hAnsi="Times New Roman" w:eastAsia="宋体" w:cs="Times New Roman"/>
          <w:b/>
          <w:bCs/>
          <w:snapToGrid w:val="0"/>
          <w:color w:val="auto"/>
          <w:kern w:val="0"/>
          <w:sz w:val="24"/>
          <w:szCs w:val="24"/>
        </w:rPr>
      </w:pPr>
      <w:r>
        <w:rPr>
          <w:rFonts w:ascii="Times New Roman" w:hAnsi="Times New Roman" w:eastAsia="宋体" w:cs="Times New Roman"/>
          <w:b w:val="0"/>
          <w:bCs w:val="0"/>
          <w:snapToGrid w:val="0"/>
          <w:color w:val="auto"/>
          <w:kern w:val="0"/>
          <w:position w:val="6"/>
          <w:sz w:val="24"/>
          <w:szCs w:val="24"/>
        </w:rPr>
        <w:t>w —</w:t>
      </w:r>
      <w:r>
        <w:rPr>
          <w:rFonts w:ascii="Times New Roman" w:hAnsi="Times New Roman" w:eastAsia="宋体" w:cs="Times New Roman"/>
          <w:b w:val="0"/>
          <w:bCs w:val="0"/>
          <w:snapToGrid w:val="0"/>
          <w:color w:val="auto"/>
          <w:spacing w:val="-32"/>
          <w:kern w:val="0"/>
          <w:position w:val="6"/>
          <w:sz w:val="24"/>
          <w:szCs w:val="24"/>
        </w:rPr>
        <w:t xml:space="preserve"> </w:t>
      </w:r>
      <w:r>
        <w:rPr>
          <w:rFonts w:ascii="Times New Roman" w:hAnsi="Times New Roman" w:eastAsia="宋体" w:cs="Times New Roman"/>
          <w:b w:val="0"/>
          <w:bCs w:val="0"/>
          <w:snapToGrid w:val="0"/>
          <w:color w:val="auto"/>
          <w:kern w:val="0"/>
          <w:position w:val="6"/>
          <w:sz w:val="24"/>
          <w:szCs w:val="24"/>
        </w:rPr>
        <w:t>土壤的水分（分析基）含量，%。</w:t>
      </w:r>
    </w:p>
    <w:p w14:paraId="15F01075">
      <w:pPr>
        <w:keepNext w:val="0"/>
        <w:keepLines w:val="0"/>
        <w:pageBreakBefore w:val="0"/>
        <w:widowControl/>
        <w:kinsoku w:val="0"/>
        <w:wordWrap/>
        <w:overflowPunct/>
        <w:topLinePunct w:val="0"/>
        <w:autoSpaceDE w:val="0"/>
        <w:autoSpaceDN w:val="0"/>
        <w:bidi w:val="0"/>
        <w:adjustRightInd w:val="0"/>
        <w:snapToGrid w:val="0"/>
        <w:spacing w:line="360" w:lineRule="auto"/>
        <w:ind w:firstLine="464" w:firstLineChars="200"/>
        <w:jc w:val="left"/>
        <w:textAlignment w:val="baseline"/>
        <w:rPr>
          <w:rFonts w:ascii="Times New Roman" w:hAnsi="Times New Roman" w:eastAsia="宋体" w:cs="Times New Roman"/>
          <w:snapToGrid w:val="0"/>
          <w:spacing w:val="-4"/>
          <w:kern w:val="0"/>
          <w:sz w:val="24"/>
          <w:szCs w:val="24"/>
        </w:rPr>
      </w:pPr>
      <w:r>
        <w:rPr>
          <w:rFonts w:ascii="Times New Roman" w:hAnsi="Times New Roman" w:eastAsia="宋体" w:cs="Times New Roman"/>
          <w:snapToGrid w:val="0"/>
          <w:spacing w:val="-4"/>
          <w:kern w:val="0"/>
          <w:sz w:val="24"/>
          <w:szCs w:val="24"/>
        </w:rPr>
        <w:t>取三次平行测定结果的算术平均值为测定结果。</w:t>
      </w:r>
    </w:p>
    <w:p w14:paraId="3FEFF72B">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ascii="Times New Roman" w:hAnsi="Times New Roman" w:eastAsia="宋体" w:cs="Times New Roman"/>
          <w:snapToGrid w:val="0"/>
          <w:spacing w:val="-8"/>
          <w:kern w:val="0"/>
          <w:sz w:val="24"/>
          <w:szCs w:val="24"/>
        </w:rPr>
      </w:pPr>
      <w:r>
        <w:rPr>
          <w:rFonts w:hint="eastAsia" w:ascii="Times New Roman" w:hAnsi="Times New Roman" w:eastAsia="宋体" w:cs="Times New Roman"/>
          <w:snapToGrid w:val="0"/>
          <w:spacing w:val="-4"/>
          <w:kern w:val="0"/>
          <w:sz w:val="24"/>
          <w:szCs w:val="24"/>
        </w:rPr>
        <w:t>（2）</w:t>
      </w:r>
      <w:r>
        <w:rPr>
          <w:rFonts w:ascii="Times New Roman" w:hAnsi="Times New Roman" w:eastAsia="宋体" w:cs="Times New Roman"/>
          <w:snapToGrid w:val="0"/>
          <w:spacing w:val="-4"/>
          <w:kern w:val="0"/>
          <w:sz w:val="24"/>
          <w:szCs w:val="24"/>
        </w:rPr>
        <w:t xml:space="preserve"> 硝化潜势的计算</w:t>
      </w:r>
    </w:p>
    <w:p w14:paraId="3D263597">
      <w:pPr>
        <w:keepNext w:val="0"/>
        <w:keepLines w:val="0"/>
        <w:pageBreakBefore w:val="0"/>
        <w:widowControl/>
        <w:kinsoku w:val="0"/>
        <w:wordWrap/>
        <w:overflowPunct/>
        <w:topLinePunct w:val="0"/>
        <w:autoSpaceDE w:val="0"/>
        <w:autoSpaceDN w:val="0"/>
        <w:bidi w:val="0"/>
        <w:adjustRightInd w:val="0"/>
        <w:snapToGrid w:val="0"/>
        <w:spacing w:line="360" w:lineRule="auto"/>
        <w:ind w:firstLine="452" w:firstLineChars="200"/>
        <w:jc w:val="left"/>
        <w:textAlignment w:val="baseline"/>
        <w:rPr>
          <w:rFonts w:hint="default" w:ascii="Times New Roman" w:hAnsi="Times New Roman" w:eastAsia="宋体" w:cs="Times New Roman"/>
          <w:b w:val="0"/>
          <w:bCs w:val="0"/>
          <w:snapToGrid w:val="0"/>
          <w:color w:val="auto"/>
          <w:spacing w:val="-7"/>
          <w:kern w:val="0"/>
          <w:sz w:val="24"/>
          <w:szCs w:val="24"/>
          <w:lang w:val="en-US" w:eastAsia="zh-CN"/>
        </w:rPr>
      </w:pPr>
      <w:r>
        <w:rPr>
          <w:rFonts w:hint="eastAsia" w:ascii="Times New Roman" w:hAnsi="Times New Roman" w:eastAsia="宋体" w:cs="Times New Roman"/>
          <w:b w:val="0"/>
          <w:bCs w:val="0"/>
          <w:snapToGrid w:val="0"/>
          <w:color w:val="auto"/>
          <w:spacing w:val="-7"/>
          <w:kern w:val="0"/>
          <w:sz w:val="24"/>
          <w:szCs w:val="24"/>
        </w:rPr>
        <w:t>硝化潜势按照单位时间内产生</w:t>
      </w:r>
      <w:r>
        <w:rPr>
          <w:rFonts w:hint="eastAsia" w:ascii="Times New Roman" w:hAnsi="Times New Roman" w:eastAsia="宋体" w:cs="Times New Roman"/>
          <w:b w:val="0"/>
          <w:bCs w:val="0"/>
          <w:snapToGrid w:val="0"/>
          <w:color w:val="auto"/>
          <w:spacing w:val="-7"/>
          <w:kern w:val="0"/>
          <w:sz w:val="24"/>
          <w:szCs w:val="24"/>
          <w:lang w:val="en-US" w:eastAsia="zh-CN"/>
        </w:rPr>
        <w:t>的</w:t>
      </w:r>
      <w:r>
        <w:rPr>
          <w:rFonts w:hint="eastAsia" w:ascii="Times New Roman" w:hAnsi="Times New Roman" w:eastAsia="宋体" w:cs="Times New Roman"/>
          <w:b w:val="0"/>
          <w:bCs w:val="0"/>
          <w:snapToGrid w:val="0"/>
          <w:color w:val="auto"/>
          <w:spacing w:val="-7"/>
          <w:kern w:val="0"/>
          <w:sz w:val="24"/>
          <w:szCs w:val="24"/>
        </w:rPr>
        <w:t>亚硝态氮量计算，单位为mg/ kg/h。</w:t>
      </w:r>
    </w:p>
    <w:p w14:paraId="67E21873">
      <w:pPr>
        <w:keepNext w:val="0"/>
        <w:keepLines w:val="0"/>
        <w:pageBreakBefore w:val="0"/>
        <w:wordWrap/>
        <w:overflowPunct/>
        <w:topLinePunct w:val="0"/>
        <w:bidi w:val="0"/>
        <w:spacing w:line="360" w:lineRule="auto"/>
        <w:ind w:firstLine="482" w:firstLineChars="200"/>
        <w:jc w:val="center"/>
        <w:rPr>
          <w:rFonts w:ascii="Times New Roman" w:hAnsi="Times New Roman" w:eastAsia="宋体" w:cs="Times New Roman"/>
          <w:snapToGrid w:val="0"/>
          <w:kern w:val="0"/>
          <w:sz w:val="24"/>
          <w:szCs w:val="24"/>
        </w:rPr>
      </w:pPr>
      <m:oMath>
        <m:r>
          <m:rPr>
            <m:sty m:val="b"/>
          </m:rPr>
          <w:rPr>
            <w:rFonts w:ascii="Cambria Math" w:hAnsi="Cambria Math" w:eastAsia="宋体" w:cs="Times New Roman"/>
            <w:sz w:val="24"/>
            <w:szCs w:val="24"/>
          </w:rPr>
          <m:t>硝化潜</m:t>
        </m:r>
        <m:r>
          <m:rPr>
            <m:sty m:val="b"/>
          </m:rPr>
          <w:rPr>
            <w:rFonts w:ascii="Cambria Math" w:hAnsi="Cambria Math" w:eastAsia="宋体" w:cs="Times New Roman"/>
            <w:snapToGrid w:val="0"/>
            <w:spacing w:val="-4"/>
            <w:kern w:val="0"/>
            <w:sz w:val="24"/>
            <w:szCs w:val="24"/>
          </w:rPr>
          <m:t>势</m:t>
        </m:r>
        <m:r>
          <m:rPr>
            <m:sty m:val="p"/>
          </m:rPr>
          <w:rPr>
            <w:rFonts w:ascii="Cambria Math" w:hAnsi="Cambria Math" w:eastAsia="宋体" w:cs="Times New Roman"/>
            <w:sz w:val="24"/>
            <w:szCs w:val="24"/>
          </w:rPr>
          <m:t>=</m:t>
        </m:r>
        <m:f>
          <m:fPr>
            <m:ctrlPr>
              <w:rPr>
                <w:rFonts w:ascii="Cambria Math" w:hAnsi="Cambria Math" w:eastAsia="宋体" w:cs="Times New Roman"/>
                <w:b/>
                <w:bCs/>
                <w:iCs/>
                <w:sz w:val="24"/>
                <w:szCs w:val="24"/>
              </w:rPr>
            </m:ctrlPr>
          </m:fPr>
          <m:num>
            <m:r>
              <m:rPr>
                <m:sty m:val="b"/>
              </m:rPr>
              <w:rPr>
                <w:rFonts w:hint="default" w:ascii="Cambria Math" w:hAnsi="Cambria Math" w:eastAsia="宋体" w:cs="Times New Roman"/>
                <w:sz w:val="24"/>
                <w:szCs w:val="24"/>
              </w:rPr>
              <m:t>6 h</m:t>
            </m:r>
            <m:r>
              <m:rPr>
                <m:sty m:val="b"/>
              </m:rPr>
              <w:rPr>
                <w:rFonts w:hint="eastAsia" w:ascii="Cambria Math" w:hAnsi="Cambria Math" w:eastAsia="宋体" w:cs="Times New Roman"/>
                <w:sz w:val="24"/>
                <w:szCs w:val="24"/>
                <w:lang w:val="en-US" w:eastAsia="zh-CN"/>
              </w:rPr>
              <m:t>的</m:t>
            </m:r>
            <m:r>
              <m:rPr>
                <m:sty m:val="b"/>
              </m:rPr>
              <w:rPr>
                <w:rFonts w:ascii="Cambria Math" w:hAnsi="Cambria Math" w:cs="Times New Roman"/>
                <w:snapToGrid w:val="0"/>
                <w:color w:val="auto"/>
                <w:spacing w:val="-3"/>
                <w:kern w:val="0"/>
                <w:sz w:val="24"/>
                <w:szCs w:val="24"/>
                <w:lang w:val="en-US"/>
              </w:rPr>
              <m:t>△</m:t>
            </m:r>
            <m:r>
              <m:rPr>
                <m:sty m:val="b"/>
              </m:rPr>
              <w:rPr>
                <w:rFonts w:hint="eastAsia" w:ascii="Cambria Math" w:hAnsi="Cambria Math" w:cs="Times New Roman"/>
                <w:snapToGrid w:val="0"/>
                <w:color w:val="auto"/>
                <w:spacing w:val="-3"/>
                <w:kern w:val="0"/>
                <w:sz w:val="24"/>
                <w:szCs w:val="24"/>
                <w:lang w:val="en-US" w:eastAsia="zh-CN"/>
              </w:rPr>
              <m:t>亚硝态氮含量</m:t>
            </m:r>
            <m:r>
              <m:rPr>
                <m:sty m:val="b"/>
              </m:rPr>
              <w:rPr>
                <w:rFonts w:hint="default" w:ascii="Cambria Math" w:hAnsi="Cambria Math" w:eastAsia="宋体" w:cs="Times New Roman"/>
                <w:sz w:val="24"/>
                <w:szCs w:val="24"/>
              </w:rPr>
              <m:t>−2 h</m:t>
            </m:r>
            <m:r>
              <m:rPr>
                <m:sty m:val="b"/>
              </m:rPr>
              <w:rPr>
                <w:rFonts w:hint="eastAsia" w:ascii="Cambria Math" w:hAnsi="Cambria Math" w:eastAsia="宋体" w:cs="Times New Roman"/>
                <w:sz w:val="24"/>
                <w:szCs w:val="24"/>
                <w:lang w:val="en-US" w:eastAsia="zh-CN"/>
              </w:rPr>
              <m:t>的</m:t>
            </m:r>
            <m:r>
              <m:rPr>
                <m:sty m:val="b"/>
              </m:rPr>
              <w:rPr>
                <w:rFonts w:ascii="Cambria Math" w:hAnsi="Cambria Math" w:cs="Times New Roman"/>
                <w:snapToGrid w:val="0"/>
                <w:color w:val="auto"/>
                <w:spacing w:val="-3"/>
                <w:kern w:val="0"/>
                <w:sz w:val="24"/>
                <w:szCs w:val="24"/>
                <w:lang w:val="en-US"/>
              </w:rPr>
              <m:t>△</m:t>
            </m:r>
            <m:r>
              <m:rPr>
                <m:sty m:val="b"/>
              </m:rPr>
              <w:rPr>
                <w:rFonts w:hint="eastAsia" w:ascii="Cambria Math" w:hAnsi="Cambria Math" w:cs="Times New Roman"/>
                <w:snapToGrid w:val="0"/>
                <w:color w:val="auto"/>
                <w:spacing w:val="-3"/>
                <w:kern w:val="0"/>
                <w:sz w:val="24"/>
                <w:szCs w:val="24"/>
                <w:lang w:val="en-US" w:eastAsia="zh-CN"/>
              </w:rPr>
              <m:t>亚硝态氮含量</m:t>
            </m:r>
            <m:ctrlPr>
              <w:rPr>
                <w:rFonts w:ascii="Cambria Math" w:hAnsi="Cambria Math" w:eastAsia="宋体" w:cs="Times New Roman"/>
                <w:b/>
                <w:bCs/>
                <w:iCs/>
                <w:sz w:val="24"/>
                <w:szCs w:val="24"/>
              </w:rPr>
            </m:ctrlPr>
          </m:num>
          <m:den>
            <m:r>
              <m:rPr>
                <m:sty m:val="b"/>
              </m:rPr>
              <w:rPr>
                <w:rFonts w:hint="default" w:ascii="Cambria Math" w:hAnsi="Cambria Math" w:eastAsia="宋体" w:cs="Times New Roman"/>
                <w:sz w:val="24"/>
                <w:szCs w:val="24"/>
              </w:rPr>
              <m:t>4 h</m:t>
            </m:r>
            <m:ctrlPr>
              <w:rPr>
                <w:rFonts w:ascii="Cambria Math" w:hAnsi="Cambria Math" w:eastAsia="宋体" w:cs="Times New Roman"/>
                <w:b/>
                <w:bCs/>
                <w:iCs/>
                <w:sz w:val="24"/>
                <w:szCs w:val="24"/>
              </w:rPr>
            </m:ctrlPr>
          </m:den>
        </m:f>
      </m:oMath>
      <w:r>
        <w:rPr>
          <w:rFonts w:ascii="Times New Roman" w:hAnsi="Times New Roman" w:eastAsia="宋体" w:cs="Times New Roman"/>
          <w:snapToGrid w:val="0"/>
          <w:spacing w:val="-4"/>
          <w:kern w:val="0"/>
          <w:sz w:val="24"/>
          <w:szCs w:val="24"/>
        </w:rPr>
        <w:t>………</w:t>
      </w:r>
      <w:r>
        <w:rPr>
          <w:rFonts w:ascii="Times New Roman" w:hAnsi="Times New Roman" w:eastAsia="宋体" w:cs="Times New Roman"/>
          <w:b w:val="0"/>
          <w:bCs w:val="0"/>
          <w:snapToGrid w:val="0"/>
          <w:color w:val="auto"/>
          <w:spacing w:val="-3"/>
          <w:kern w:val="0"/>
          <w:sz w:val="24"/>
          <w:szCs w:val="24"/>
        </w:rPr>
        <w:t>………………</w:t>
      </w:r>
      <w:r>
        <w:rPr>
          <w:rFonts w:ascii="Times New Roman" w:hAnsi="Times New Roman" w:eastAsia="宋体" w:cs="Times New Roman"/>
          <w:snapToGrid w:val="0"/>
          <w:spacing w:val="-4"/>
          <w:kern w:val="0"/>
          <w:sz w:val="24"/>
          <w:szCs w:val="24"/>
        </w:rPr>
        <w:t>………</w:t>
      </w:r>
      <w:r>
        <w:rPr>
          <w:rFonts w:ascii="Times New Roman" w:hAnsi="Times New Roman" w:eastAsia="宋体" w:cs="Times New Roman"/>
          <w:snapToGrid w:val="0"/>
          <w:spacing w:val="-48"/>
          <w:kern w:val="0"/>
          <w:sz w:val="24"/>
          <w:szCs w:val="24"/>
        </w:rPr>
        <w:t xml:space="preserve"> </w:t>
      </w:r>
      <w:r>
        <w:rPr>
          <w:rFonts w:ascii="Times New Roman" w:hAnsi="Times New Roman" w:eastAsia="宋体" w:cs="Times New Roman"/>
          <w:snapToGrid w:val="0"/>
          <w:spacing w:val="-4"/>
          <w:kern w:val="0"/>
          <w:sz w:val="24"/>
          <w:szCs w:val="24"/>
        </w:rPr>
        <w:t>(</w:t>
      </w:r>
      <w:r>
        <w:rPr>
          <w:rFonts w:hint="eastAsia" w:ascii="Times New Roman" w:hAnsi="Times New Roman" w:eastAsia="宋体" w:cs="Times New Roman"/>
          <w:snapToGrid w:val="0"/>
          <w:spacing w:val="-4"/>
          <w:kern w:val="0"/>
          <w:sz w:val="24"/>
          <w:szCs w:val="24"/>
          <w:lang w:val="en-US" w:eastAsia="zh-CN"/>
        </w:rPr>
        <w:t>2</w:t>
      </w:r>
      <w:r>
        <w:rPr>
          <w:rFonts w:ascii="Times New Roman" w:hAnsi="Times New Roman" w:eastAsia="宋体" w:cs="Times New Roman"/>
          <w:snapToGrid w:val="0"/>
          <w:spacing w:val="-4"/>
          <w:kern w:val="0"/>
          <w:sz w:val="24"/>
          <w:szCs w:val="24"/>
        </w:rPr>
        <w:t>)</w:t>
      </w:r>
    </w:p>
    <w:p w14:paraId="50B8CA09">
      <w:pPr>
        <w:keepNext w:val="0"/>
        <w:keepLines w:val="0"/>
        <w:pageBreakBefore w:val="0"/>
        <w:wordWrap/>
        <w:overflowPunct/>
        <w:topLinePunct w:val="0"/>
        <w:bidi w:val="0"/>
        <w:spacing w:line="360" w:lineRule="auto"/>
        <w:jc w:val="both"/>
        <w:rPr>
          <w:rFonts w:ascii="Times New Roman" w:hAnsi="Times New Roman" w:eastAsia="宋体" w:cs="Times New Roman"/>
          <w:snapToGrid w:val="0"/>
          <w:kern w:val="0"/>
          <w:sz w:val="24"/>
          <w:szCs w:val="24"/>
        </w:rPr>
      </w:pPr>
      <m:oMath>
        <m:r>
          <m:rPr>
            <m:sty m:val="b"/>
          </m:rPr>
          <w:rPr>
            <w:rFonts w:ascii="Cambria Math" w:hAnsi="Cambria Math" w:cs="Times New Roman"/>
            <w:snapToGrid w:val="0"/>
            <w:color w:val="auto"/>
            <w:spacing w:val="-3"/>
            <w:kern w:val="0"/>
            <w:sz w:val="22"/>
            <w:szCs w:val="22"/>
            <w:lang w:val="en-US"/>
          </w:rPr>
          <m:t>△</m:t>
        </m:r>
        <m:r>
          <m:rPr>
            <m:sty m:val="b"/>
          </m:rPr>
          <w:rPr>
            <w:rFonts w:hint="eastAsia" w:ascii="Cambria Math" w:hAnsi="Cambria Math" w:cs="Times New Roman"/>
            <w:snapToGrid w:val="0"/>
            <w:color w:val="auto"/>
            <w:spacing w:val="-3"/>
            <w:kern w:val="0"/>
            <w:sz w:val="22"/>
            <w:szCs w:val="22"/>
            <w:lang w:val="en-US" w:eastAsia="zh-CN"/>
          </w:rPr>
          <m:t>亚硝态氮含量=添加培养介质的亚硝态氮含量</m:t>
        </m:r>
        <m:r>
          <m:rPr>
            <m:sty m:val="b"/>
          </m:rPr>
          <w:rPr>
            <w:rFonts w:hint="default" w:ascii="Cambria Math" w:hAnsi="Cambria Math" w:cs="Times New Roman"/>
            <w:snapToGrid w:val="0"/>
            <w:color w:val="auto"/>
            <w:spacing w:val="-3"/>
            <w:kern w:val="0"/>
            <w:sz w:val="22"/>
            <w:szCs w:val="22"/>
            <w:lang w:val="en-US" w:eastAsia="zh-CN"/>
          </w:rPr>
          <m:t>−</m:t>
        </m:r>
        <m:r>
          <m:rPr>
            <m:sty m:val="b"/>
          </m:rPr>
          <w:rPr>
            <w:rFonts w:hint="eastAsia" w:ascii="Cambria Math" w:hAnsi="Cambria Math" w:cs="Times New Roman"/>
            <w:snapToGrid w:val="0"/>
            <w:color w:val="auto"/>
            <w:spacing w:val="-3"/>
            <w:kern w:val="0"/>
            <w:sz w:val="22"/>
            <w:szCs w:val="22"/>
            <w:lang w:val="en-US" w:eastAsia="zh-CN"/>
          </w:rPr>
          <m:t>添加空白介质的亚硝态氮含量</m:t>
        </m:r>
      </m:oMath>
      <w:r>
        <w:rPr>
          <w:rFonts w:ascii="Times New Roman" w:hAnsi="Times New Roman" w:eastAsia="宋体" w:cs="Times New Roman"/>
          <w:snapToGrid w:val="0"/>
          <w:spacing w:val="-4"/>
          <w:kern w:val="0"/>
          <w:sz w:val="24"/>
          <w:szCs w:val="24"/>
        </w:rPr>
        <w:t>…</w:t>
      </w:r>
      <w:r>
        <w:rPr>
          <w:rFonts w:ascii="Times New Roman" w:hAnsi="Times New Roman" w:eastAsia="宋体" w:cs="Times New Roman"/>
          <w:snapToGrid w:val="0"/>
          <w:spacing w:val="-48"/>
          <w:kern w:val="0"/>
          <w:sz w:val="24"/>
          <w:szCs w:val="24"/>
        </w:rPr>
        <w:t xml:space="preserve"> </w:t>
      </w:r>
      <w:r>
        <w:rPr>
          <w:rFonts w:ascii="Times New Roman" w:hAnsi="Times New Roman" w:eastAsia="宋体" w:cs="Times New Roman"/>
          <w:snapToGrid w:val="0"/>
          <w:spacing w:val="-4"/>
          <w:kern w:val="0"/>
          <w:sz w:val="24"/>
          <w:szCs w:val="24"/>
        </w:rPr>
        <w:t>(</w:t>
      </w:r>
      <w:r>
        <w:rPr>
          <w:rFonts w:hint="eastAsia" w:ascii="Times New Roman" w:hAnsi="Times New Roman" w:eastAsia="宋体" w:cs="Times New Roman"/>
          <w:snapToGrid w:val="0"/>
          <w:spacing w:val="-4"/>
          <w:kern w:val="0"/>
          <w:sz w:val="24"/>
          <w:szCs w:val="24"/>
          <w:lang w:val="en-US" w:eastAsia="zh-CN"/>
        </w:rPr>
        <w:t>3</w:t>
      </w:r>
      <w:r>
        <w:rPr>
          <w:rFonts w:ascii="Times New Roman" w:hAnsi="Times New Roman" w:eastAsia="宋体" w:cs="Times New Roman"/>
          <w:snapToGrid w:val="0"/>
          <w:spacing w:val="-4"/>
          <w:kern w:val="0"/>
          <w:sz w:val="24"/>
          <w:szCs w:val="24"/>
        </w:rPr>
        <w:t>)</w:t>
      </w:r>
    </w:p>
    <w:p w14:paraId="48C7775F">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ascii="Times New Roman" w:hAnsi="Times New Roman" w:eastAsia="宋体" w:cs="Times New Roman"/>
          <w:snapToGrid w:val="0"/>
          <w:kern w:val="0"/>
          <w:sz w:val="24"/>
          <w:szCs w:val="24"/>
        </w:rPr>
      </w:pPr>
      <w:r>
        <w:rPr>
          <w:rFonts w:hint="eastAsia" w:ascii="Times New Roman" w:hAnsi="Times New Roman" w:eastAsia="宋体" w:cs="Times New Roman"/>
          <w:snapToGrid w:val="0"/>
          <w:spacing w:val="-4"/>
          <w:kern w:val="0"/>
          <w:sz w:val="24"/>
          <w:szCs w:val="24"/>
        </w:rPr>
        <w:t>（3）</w:t>
      </w:r>
      <w:r>
        <w:rPr>
          <w:rFonts w:ascii="Times New Roman" w:hAnsi="Times New Roman" w:eastAsia="宋体" w:cs="Times New Roman"/>
          <w:snapToGrid w:val="0"/>
          <w:spacing w:val="-4"/>
          <w:kern w:val="0"/>
          <w:sz w:val="24"/>
          <w:szCs w:val="24"/>
        </w:rPr>
        <w:t xml:space="preserve"> 硝化潜势</w:t>
      </w:r>
      <w:r>
        <w:rPr>
          <w:rFonts w:hint="eastAsia" w:ascii="Times New Roman" w:hAnsi="Times New Roman" w:eastAsia="宋体" w:cs="Times New Roman"/>
          <w:snapToGrid w:val="0"/>
          <w:spacing w:val="-4"/>
          <w:kern w:val="0"/>
          <w:sz w:val="24"/>
          <w:szCs w:val="24"/>
          <w:lang w:val="en-US" w:eastAsia="zh-CN"/>
        </w:rPr>
        <w:t>差异</w:t>
      </w:r>
      <w:r>
        <w:rPr>
          <w:rFonts w:ascii="Times New Roman" w:hAnsi="Times New Roman" w:eastAsia="宋体" w:cs="Times New Roman"/>
          <w:snapToGrid w:val="0"/>
          <w:spacing w:val="-4"/>
          <w:kern w:val="0"/>
          <w:sz w:val="24"/>
          <w:szCs w:val="24"/>
        </w:rPr>
        <w:t>率的计算</w:t>
      </w:r>
    </w:p>
    <w:p w14:paraId="5D06E4C9">
      <w:pPr>
        <w:keepNext w:val="0"/>
        <w:keepLines w:val="0"/>
        <w:pageBreakBefore w:val="0"/>
        <w:widowControl/>
        <w:kinsoku w:val="0"/>
        <w:wordWrap/>
        <w:overflowPunct/>
        <w:topLinePunct w:val="0"/>
        <w:autoSpaceDE w:val="0"/>
        <w:autoSpaceDN w:val="0"/>
        <w:bidi w:val="0"/>
        <w:adjustRightInd w:val="0"/>
        <w:snapToGrid w:val="0"/>
        <w:spacing w:line="360" w:lineRule="auto"/>
        <w:ind w:firstLine="472" w:firstLineChars="200"/>
        <w:jc w:val="left"/>
        <w:textAlignment w:val="baseline"/>
        <w:rPr>
          <w:rFonts w:ascii="Times New Roman" w:hAnsi="Times New Roman" w:eastAsia="宋体" w:cs="Times New Roman"/>
          <w:snapToGrid w:val="0"/>
          <w:kern w:val="0"/>
          <w:sz w:val="24"/>
          <w:szCs w:val="24"/>
        </w:rPr>
      </w:pPr>
      <w:r>
        <w:rPr>
          <w:rFonts w:ascii="Times New Roman" w:hAnsi="Times New Roman" w:eastAsia="宋体" w:cs="Times New Roman"/>
          <w:snapToGrid w:val="0"/>
          <w:spacing w:val="-2"/>
          <w:kern w:val="0"/>
          <w:sz w:val="24"/>
          <w:szCs w:val="24"/>
        </w:rPr>
        <w:t>硝化潜势</w:t>
      </w:r>
      <w:r>
        <w:rPr>
          <w:rFonts w:hint="eastAsia" w:ascii="Times New Roman" w:hAnsi="Times New Roman" w:eastAsia="宋体" w:cs="Times New Roman"/>
          <w:snapToGrid w:val="0"/>
          <w:spacing w:val="-2"/>
          <w:kern w:val="0"/>
          <w:sz w:val="24"/>
          <w:szCs w:val="24"/>
          <w:lang w:val="en-US" w:eastAsia="zh-CN"/>
        </w:rPr>
        <w:t>差异</w:t>
      </w:r>
      <w:r>
        <w:rPr>
          <w:rFonts w:ascii="Times New Roman" w:hAnsi="Times New Roman" w:eastAsia="宋体" w:cs="Times New Roman"/>
          <w:snapToGrid w:val="0"/>
          <w:spacing w:val="-2"/>
          <w:kern w:val="0"/>
          <w:sz w:val="24"/>
          <w:szCs w:val="24"/>
        </w:rPr>
        <w:t>率</w:t>
      </w:r>
      <w:r>
        <w:rPr>
          <w:rFonts w:hint="eastAsia" w:ascii="Times New Roman" w:hAnsi="Times New Roman" w:eastAsia="宋体" w:cs="Times New Roman"/>
          <w:snapToGrid w:val="0"/>
          <w:spacing w:val="-2"/>
          <w:kern w:val="0"/>
          <w:sz w:val="24"/>
          <w:szCs w:val="24"/>
          <w:lang w:val="en-US" w:eastAsia="zh-CN"/>
        </w:rPr>
        <w:t>按对照样品硝化潜势与肥料样品硝化潜势之差与前者的百分比计算，单位为</w:t>
      </w:r>
      <w:r>
        <w:rPr>
          <w:rFonts w:ascii="Times New Roman" w:hAnsi="Times New Roman" w:eastAsia="宋体" w:cs="Times New Roman"/>
          <w:snapToGrid w:val="0"/>
          <w:spacing w:val="-2"/>
          <w:kern w:val="0"/>
          <w:sz w:val="24"/>
          <w:szCs w:val="24"/>
        </w:rPr>
        <w:t>%。</w:t>
      </w:r>
    </w:p>
    <w:p w14:paraId="1FD22405">
      <w:pPr>
        <w:keepNext w:val="0"/>
        <w:keepLines w:val="0"/>
        <w:pageBreakBefore w:val="0"/>
        <w:widowControl/>
        <w:kinsoku w:val="0"/>
        <w:wordWrap/>
        <w:overflowPunct/>
        <w:topLinePunct w:val="0"/>
        <w:autoSpaceDE w:val="0"/>
        <w:autoSpaceDN w:val="0"/>
        <w:bidi w:val="0"/>
        <w:adjustRightInd w:val="0"/>
        <w:snapToGrid w:val="0"/>
        <w:spacing w:line="360" w:lineRule="auto"/>
        <w:ind w:right="231" w:firstLine="478" w:firstLineChars="200"/>
        <w:jc w:val="center"/>
        <w:textAlignment w:val="baseline"/>
        <w:rPr>
          <w:rFonts w:hint="default" w:ascii="Times New Roman" w:hAnsi="Times New Roman" w:eastAsia="宋体" w:cs="Times New Roman"/>
          <w:color w:val="auto"/>
          <w:sz w:val="24"/>
          <w:szCs w:val="24"/>
          <w:lang w:val="en-US" w:eastAsia="zh-CN"/>
        </w:rPr>
      </w:pPr>
      <m:oMath>
        <m:r>
          <m:rPr>
            <m:sty m:val="b"/>
          </m:rPr>
          <w:rPr>
            <w:rFonts w:hint="eastAsia" w:ascii="Cambria Math" w:hAnsi="Cambria Math" w:eastAsia="宋体" w:cs="Times New Roman"/>
            <w:snapToGrid w:val="0"/>
            <w:spacing w:val="-1"/>
            <w:kern w:val="0"/>
            <w:sz w:val="24"/>
            <w:szCs w:val="24"/>
            <w:lang w:val="en-US" w:eastAsia="zh-CN"/>
          </w:rPr>
          <m:t>硝化潜势差异率</m:t>
        </m:r>
        <m:r>
          <m:rPr>
            <m:sty m:val="p"/>
          </m:rPr>
          <w:rPr>
            <w:rFonts w:ascii="Cambria Math" w:hAnsi="Cambria Math" w:eastAsia="宋体" w:cs="Times New Roman"/>
            <w:snapToGrid w:val="0"/>
            <w:spacing w:val="-1"/>
            <w:kern w:val="0"/>
            <w:sz w:val="24"/>
            <w:szCs w:val="24"/>
          </w:rPr>
          <m:t>=</m:t>
        </m:r>
        <m:f>
          <m:fPr>
            <m:ctrlPr>
              <w:rPr>
                <w:rFonts w:hint="eastAsia" w:ascii="Cambria Math" w:hAnsi="Cambria Math" w:eastAsia="宋体" w:cs="Times New Roman"/>
                <w:b/>
                <w:bCs/>
                <w:i w:val="0"/>
                <w:snapToGrid w:val="0"/>
                <w:spacing w:val="-1"/>
                <w:kern w:val="0"/>
                <w:sz w:val="24"/>
                <w:szCs w:val="24"/>
                <w:lang w:val="en-US" w:eastAsia="zh-CN"/>
              </w:rPr>
            </m:ctrlPr>
          </m:fPr>
          <m:num>
            <m:sSub>
              <m:sSubPr>
                <m:ctrlPr>
                  <w:rPr>
                    <w:rFonts w:hint="eastAsia" w:ascii="Cambria Math" w:hAnsi="Cambria Math" w:eastAsia="宋体" w:cs="Times New Roman"/>
                    <w:b/>
                    <w:bCs/>
                    <w:i w:val="0"/>
                    <w:snapToGrid w:val="0"/>
                    <w:spacing w:val="-1"/>
                    <w:kern w:val="0"/>
                    <w:sz w:val="24"/>
                    <w:szCs w:val="24"/>
                    <w:lang w:val="en-US" w:eastAsia="zh-CN"/>
                  </w:rPr>
                </m:ctrlPr>
              </m:sSubPr>
              <m:e>
                <m:r>
                  <m:rPr>
                    <m:sty m:val="b"/>
                  </m:rPr>
                  <w:rPr>
                    <w:rFonts w:hint="eastAsia" w:ascii="Cambria Math" w:hAnsi="Cambria Math" w:eastAsia="宋体" w:cs="Times New Roman"/>
                    <w:snapToGrid w:val="0"/>
                    <w:spacing w:val="-1"/>
                    <w:kern w:val="0"/>
                    <w:sz w:val="24"/>
                    <w:szCs w:val="24"/>
                    <w:lang w:val="en-US" w:eastAsia="zh-CN"/>
                  </w:rPr>
                  <m:t>硝化潜势</m:t>
                </m:r>
                <m:ctrlPr>
                  <w:rPr>
                    <w:rFonts w:hint="eastAsia" w:ascii="Cambria Math" w:hAnsi="Cambria Math" w:eastAsia="宋体" w:cs="Times New Roman"/>
                    <w:b/>
                    <w:bCs/>
                    <w:i w:val="0"/>
                    <w:snapToGrid w:val="0"/>
                    <w:spacing w:val="-1"/>
                    <w:kern w:val="0"/>
                    <w:sz w:val="24"/>
                    <w:szCs w:val="24"/>
                    <w:lang w:val="en-US" w:eastAsia="zh-CN"/>
                  </w:rPr>
                </m:ctrlPr>
              </m:e>
              <m:sub>
                <m:r>
                  <m:rPr>
                    <m:sty m:val="b"/>
                  </m:rPr>
                  <w:rPr>
                    <w:rFonts w:hint="eastAsia" w:ascii="Cambria Math" w:hAnsi="Cambria Math" w:eastAsia="宋体" w:cs="Times New Roman"/>
                    <w:snapToGrid w:val="0"/>
                    <w:spacing w:val="-1"/>
                    <w:kern w:val="0"/>
                    <w:sz w:val="24"/>
                    <w:szCs w:val="24"/>
                    <w:lang w:val="en-US" w:eastAsia="zh-CN"/>
                  </w:rPr>
                  <m:t>对照</m:t>
                </m:r>
                <m:ctrlPr>
                  <w:rPr>
                    <w:rFonts w:hint="eastAsia" w:ascii="Cambria Math" w:hAnsi="Cambria Math" w:eastAsia="宋体" w:cs="Times New Roman"/>
                    <w:b/>
                    <w:bCs/>
                    <w:i w:val="0"/>
                    <w:snapToGrid w:val="0"/>
                    <w:spacing w:val="-1"/>
                    <w:kern w:val="0"/>
                    <w:sz w:val="24"/>
                    <w:szCs w:val="24"/>
                    <w:lang w:val="en-US" w:eastAsia="zh-CN"/>
                  </w:rPr>
                </m:ctrlPr>
              </m:sub>
            </m:sSub>
            <m:r>
              <m:rPr>
                <m:sty m:val="b"/>
              </m:rPr>
              <w:rPr>
                <w:rFonts w:hint="eastAsia" w:ascii="Cambria Math" w:hAnsi="Cambria Math" w:eastAsia="宋体" w:cs="Times New Roman"/>
                <w:snapToGrid w:val="0"/>
                <w:spacing w:val="-1"/>
                <w:kern w:val="0"/>
                <w:sz w:val="24"/>
                <w:szCs w:val="24"/>
                <w:lang w:val="en-US" w:eastAsia="zh-CN"/>
              </w:rPr>
              <m:t>−</m:t>
            </m:r>
            <m:sSub>
              <m:sSubPr>
                <m:ctrlPr>
                  <w:rPr>
                    <w:rFonts w:hint="eastAsia" w:ascii="Cambria Math" w:hAnsi="Cambria Math" w:eastAsia="宋体" w:cs="Times New Roman"/>
                    <w:b/>
                    <w:bCs/>
                    <w:i w:val="0"/>
                    <w:snapToGrid w:val="0"/>
                    <w:spacing w:val="-1"/>
                    <w:kern w:val="0"/>
                    <w:sz w:val="24"/>
                    <w:szCs w:val="24"/>
                    <w:lang w:val="en-US" w:eastAsia="zh-CN"/>
                  </w:rPr>
                </m:ctrlPr>
              </m:sSubPr>
              <m:e>
                <m:r>
                  <m:rPr>
                    <m:sty m:val="b"/>
                  </m:rPr>
                  <w:rPr>
                    <w:rFonts w:hint="eastAsia" w:ascii="Cambria Math" w:hAnsi="Cambria Math" w:eastAsia="宋体" w:cs="Times New Roman"/>
                    <w:snapToGrid w:val="0"/>
                    <w:spacing w:val="-1"/>
                    <w:kern w:val="0"/>
                    <w:sz w:val="24"/>
                    <w:szCs w:val="24"/>
                    <w:lang w:val="en-US" w:eastAsia="zh-CN"/>
                  </w:rPr>
                  <m:t>硝化潜势</m:t>
                </m:r>
                <m:ctrlPr>
                  <w:rPr>
                    <w:rFonts w:hint="eastAsia" w:ascii="Cambria Math" w:hAnsi="Cambria Math" w:eastAsia="宋体" w:cs="Times New Roman"/>
                    <w:b/>
                    <w:bCs/>
                    <w:i w:val="0"/>
                    <w:snapToGrid w:val="0"/>
                    <w:spacing w:val="-1"/>
                    <w:kern w:val="0"/>
                    <w:sz w:val="24"/>
                    <w:szCs w:val="24"/>
                    <w:lang w:val="en-US" w:eastAsia="zh-CN"/>
                  </w:rPr>
                </m:ctrlPr>
              </m:e>
              <m:sub>
                <m:r>
                  <m:rPr>
                    <m:sty m:val="b"/>
                  </m:rPr>
                  <w:rPr>
                    <w:rFonts w:hint="eastAsia" w:ascii="Cambria Math" w:hAnsi="Cambria Math" w:eastAsia="宋体" w:cs="Times New Roman"/>
                    <w:snapToGrid w:val="0"/>
                    <w:spacing w:val="-1"/>
                    <w:kern w:val="0"/>
                    <w:sz w:val="24"/>
                    <w:szCs w:val="24"/>
                    <w:lang w:val="en-US" w:eastAsia="zh-CN"/>
                  </w:rPr>
                  <m:t>肥料</m:t>
                </m:r>
                <m:ctrlPr>
                  <w:rPr>
                    <w:rFonts w:hint="eastAsia" w:ascii="Cambria Math" w:hAnsi="Cambria Math" w:eastAsia="宋体" w:cs="Times New Roman"/>
                    <w:b/>
                    <w:bCs/>
                    <w:i w:val="0"/>
                    <w:snapToGrid w:val="0"/>
                    <w:spacing w:val="-1"/>
                    <w:kern w:val="0"/>
                    <w:sz w:val="24"/>
                    <w:szCs w:val="24"/>
                    <w:lang w:val="en-US" w:eastAsia="zh-CN"/>
                  </w:rPr>
                </m:ctrlPr>
              </m:sub>
            </m:sSub>
            <m:ctrlPr>
              <w:rPr>
                <w:rFonts w:hint="eastAsia" w:ascii="Cambria Math" w:hAnsi="Cambria Math" w:eastAsia="宋体" w:cs="Times New Roman"/>
                <w:b/>
                <w:bCs/>
                <w:i w:val="0"/>
                <w:snapToGrid w:val="0"/>
                <w:spacing w:val="-1"/>
                <w:kern w:val="0"/>
                <w:sz w:val="24"/>
                <w:szCs w:val="24"/>
                <w:lang w:val="en-US" w:eastAsia="zh-CN"/>
              </w:rPr>
            </m:ctrlPr>
          </m:num>
          <m:den>
            <m:sSub>
              <m:sSubPr>
                <m:ctrlPr>
                  <w:rPr>
                    <w:rFonts w:hint="eastAsia" w:ascii="Cambria Math" w:hAnsi="Cambria Math" w:eastAsia="宋体" w:cs="Times New Roman"/>
                    <w:b/>
                    <w:bCs/>
                    <w:i w:val="0"/>
                    <w:snapToGrid w:val="0"/>
                    <w:spacing w:val="-1"/>
                    <w:kern w:val="0"/>
                    <w:sz w:val="24"/>
                    <w:szCs w:val="24"/>
                    <w:lang w:val="en-US" w:eastAsia="zh-CN"/>
                  </w:rPr>
                </m:ctrlPr>
              </m:sSubPr>
              <m:e>
                <m:r>
                  <m:rPr>
                    <m:sty m:val="b"/>
                  </m:rPr>
                  <w:rPr>
                    <w:rFonts w:hint="eastAsia" w:ascii="Cambria Math" w:hAnsi="Cambria Math" w:eastAsia="宋体" w:cs="Times New Roman"/>
                    <w:snapToGrid w:val="0"/>
                    <w:spacing w:val="-1"/>
                    <w:kern w:val="0"/>
                    <w:sz w:val="24"/>
                    <w:szCs w:val="24"/>
                    <w:lang w:val="en-US" w:eastAsia="zh-CN"/>
                  </w:rPr>
                  <m:t>硝化潜势</m:t>
                </m:r>
                <m:ctrlPr>
                  <w:rPr>
                    <w:rFonts w:hint="eastAsia" w:ascii="Cambria Math" w:hAnsi="Cambria Math" w:eastAsia="宋体" w:cs="Times New Roman"/>
                    <w:b/>
                    <w:bCs/>
                    <w:i w:val="0"/>
                    <w:snapToGrid w:val="0"/>
                    <w:spacing w:val="-1"/>
                    <w:kern w:val="0"/>
                    <w:sz w:val="24"/>
                    <w:szCs w:val="24"/>
                    <w:lang w:val="en-US" w:eastAsia="zh-CN"/>
                  </w:rPr>
                </m:ctrlPr>
              </m:e>
              <m:sub>
                <m:r>
                  <m:rPr>
                    <m:sty m:val="b"/>
                  </m:rPr>
                  <w:rPr>
                    <w:rFonts w:hint="eastAsia" w:ascii="Cambria Math" w:hAnsi="Cambria Math" w:eastAsia="宋体" w:cs="Times New Roman"/>
                    <w:snapToGrid w:val="0"/>
                    <w:spacing w:val="-1"/>
                    <w:kern w:val="0"/>
                    <w:sz w:val="24"/>
                    <w:szCs w:val="24"/>
                    <w:lang w:val="en-US" w:eastAsia="zh-CN"/>
                  </w:rPr>
                  <m:t>对照</m:t>
                </m:r>
                <m:ctrlPr>
                  <w:rPr>
                    <w:rFonts w:hint="eastAsia" w:ascii="Cambria Math" w:hAnsi="Cambria Math" w:eastAsia="宋体" w:cs="Times New Roman"/>
                    <w:b/>
                    <w:bCs/>
                    <w:i w:val="0"/>
                    <w:snapToGrid w:val="0"/>
                    <w:spacing w:val="-1"/>
                    <w:kern w:val="0"/>
                    <w:sz w:val="24"/>
                    <w:szCs w:val="24"/>
                    <w:lang w:val="en-US" w:eastAsia="zh-CN"/>
                  </w:rPr>
                </m:ctrlPr>
              </m:sub>
            </m:sSub>
            <m:ctrlPr>
              <w:rPr>
                <w:rFonts w:hint="eastAsia" w:ascii="Cambria Math" w:hAnsi="Cambria Math" w:eastAsia="宋体" w:cs="Times New Roman"/>
                <w:b/>
                <w:bCs/>
                <w:i w:val="0"/>
                <w:snapToGrid w:val="0"/>
                <w:spacing w:val="-1"/>
                <w:kern w:val="0"/>
                <w:sz w:val="24"/>
                <w:szCs w:val="24"/>
                <w:lang w:val="en-US" w:eastAsia="zh-CN"/>
              </w:rPr>
            </m:ctrlPr>
          </m:den>
        </m:f>
        <m:r>
          <m:rPr>
            <m:sty m:val="bi"/>
          </m:rPr>
          <w:rPr>
            <w:rFonts w:hint="default" w:ascii="Cambria Math" w:hAnsi="Cambria Math" w:eastAsia="宋体" w:cs="Times New Roman"/>
            <w:snapToGrid w:val="0"/>
            <w:spacing w:val="-1"/>
            <w:kern w:val="0"/>
            <w:sz w:val="24"/>
            <w:szCs w:val="24"/>
          </w:rPr>
          <m:t>×100</m:t>
        </m:r>
      </m:oMath>
      <w:r>
        <w:rPr>
          <w:rFonts w:ascii="Times New Roman" w:hAnsi="Times New Roman" w:eastAsia="宋体" w:cs="Times New Roman"/>
          <w:snapToGrid w:val="0"/>
          <w:spacing w:val="-4"/>
          <w:kern w:val="0"/>
          <w:sz w:val="24"/>
          <w:szCs w:val="24"/>
        </w:rPr>
        <w:t>…………………</w:t>
      </w:r>
      <w:r>
        <w:rPr>
          <w:rFonts w:ascii="Times New Roman" w:hAnsi="Times New Roman" w:eastAsia="宋体" w:cs="Times New Roman"/>
          <w:snapToGrid w:val="0"/>
          <w:spacing w:val="-48"/>
          <w:kern w:val="0"/>
          <w:sz w:val="24"/>
          <w:szCs w:val="24"/>
        </w:rPr>
        <w:t xml:space="preserve"> </w:t>
      </w:r>
      <w:r>
        <w:rPr>
          <w:rFonts w:ascii="Times New Roman" w:hAnsi="Times New Roman" w:eastAsia="宋体" w:cs="Times New Roman"/>
          <w:snapToGrid w:val="0"/>
          <w:spacing w:val="-4"/>
          <w:kern w:val="0"/>
          <w:sz w:val="24"/>
          <w:szCs w:val="24"/>
        </w:rPr>
        <w:t>(</w:t>
      </w:r>
      <w:r>
        <w:rPr>
          <w:rFonts w:hint="eastAsia" w:ascii="Times New Roman" w:hAnsi="Times New Roman" w:eastAsia="宋体" w:cs="Times New Roman"/>
          <w:snapToGrid w:val="0"/>
          <w:spacing w:val="-4"/>
          <w:kern w:val="0"/>
          <w:sz w:val="24"/>
          <w:szCs w:val="24"/>
          <w:lang w:val="en-US" w:eastAsia="zh-CN"/>
        </w:rPr>
        <w:t>4</w:t>
      </w:r>
      <w:r>
        <w:rPr>
          <w:rFonts w:ascii="Times New Roman" w:hAnsi="Times New Roman" w:eastAsia="宋体" w:cs="Times New Roman"/>
          <w:snapToGrid w:val="0"/>
          <w:spacing w:val="-4"/>
          <w:kern w:val="0"/>
          <w:sz w:val="24"/>
          <w:szCs w:val="24"/>
        </w:rPr>
        <w:t>)</w:t>
      </w:r>
    </w:p>
    <w:p w14:paraId="70CB1B84">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6.2 结果</w:t>
      </w:r>
    </w:p>
    <w:p w14:paraId="091F585D">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6.2.1 优化后方法测定结果</w:t>
      </w:r>
    </w:p>
    <w:p w14:paraId="6CB11577">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color w:val="FF0000"/>
          <w:kern w:val="2"/>
          <w:sz w:val="24"/>
          <w:szCs w:val="24"/>
          <w:lang w:val="en-US" w:eastAsia="zh-CN" w:bidi="ar-SA"/>
        </w:rPr>
        <w:t>采用全面优化后的测定方法进行48个稳定性肥料样品的硝化潜势差异率测定，其中</w:t>
      </w:r>
      <w:r>
        <w:rPr>
          <w:rFonts w:hint="eastAsia" w:ascii="Times New Roman" w:hAnsi="Times New Roman" w:eastAsia="宋体" w:cs="Times New Roman"/>
          <w:b w:val="0"/>
          <w:bCs w:val="0"/>
          <w:color w:val="FF0000"/>
          <w:sz w:val="24"/>
          <w:szCs w:val="24"/>
          <w:lang w:val="en-US" w:eastAsia="zh-CN"/>
        </w:rPr>
        <w:t>11、12、36、37号这4个问题样品，25、27这2个硝复合肥样品以及11个原料样品不进行测定，最终对31个稳定性肥料成品进行测定</w:t>
      </w:r>
      <w:r>
        <w:rPr>
          <w:rFonts w:hint="eastAsia" w:ascii="Times New Roman" w:hAnsi="Times New Roman" w:eastAsia="宋体" w:cs="Times New Roman"/>
          <w:color w:val="FF0000"/>
          <w:kern w:val="2"/>
          <w:sz w:val="24"/>
          <w:szCs w:val="24"/>
          <w:lang w:val="en-US" w:eastAsia="zh-CN" w:bidi="ar-SA"/>
        </w:rPr>
        <w:t>。</w:t>
      </w:r>
      <w:r>
        <w:rPr>
          <w:rFonts w:hint="eastAsia" w:ascii="Times New Roman" w:hAnsi="Times New Roman" w:eastAsia="宋体" w:cs="Times New Roman"/>
          <w:kern w:val="2"/>
          <w:sz w:val="24"/>
          <w:szCs w:val="24"/>
          <w:lang w:val="en-US" w:eastAsia="zh-CN" w:bidi="ar-SA"/>
        </w:rPr>
        <w:t>结果表明，在这31个稳定性肥料中，有5个样品的硝化潜势差异率低于10%，其余26个样品的硝化潜势差异率在13.99%-186.66%之间变化，产品合格率达到83.87%。</w:t>
      </w:r>
      <w:r>
        <w:rPr>
          <w:rFonts w:hint="eastAsia" w:ascii="Times New Roman" w:hAnsi="Times New Roman" w:eastAsia="宋体" w:cs="Times New Roman"/>
          <w:b w:val="0"/>
          <w:bCs w:val="0"/>
          <w:color w:val="auto"/>
          <w:kern w:val="2"/>
          <w:sz w:val="24"/>
          <w:szCs w:val="24"/>
          <w:vertAlign w:val="baseline"/>
          <w:lang w:val="en-US" w:eastAsia="zh-CN" w:bidi="ar-SA"/>
        </w:rPr>
        <w:t>此外，还与</w:t>
      </w:r>
      <w:r>
        <w:rPr>
          <w:rFonts w:hint="default" w:ascii="Times New Roman" w:hAnsi="Times New Roman" w:eastAsia="宋体" w:cs="Times New Roman"/>
          <w:b w:val="0"/>
          <w:bCs w:val="0"/>
          <w:color w:val="auto"/>
          <w:kern w:val="2"/>
          <w:sz w:val="24"/>
          <w:szCs w:val="24"/>
          <w:vertAlign w:val="baseline"/>
          <w:lang w:val="en-US" w:eastAsia="zh-CN" w:bidi="ar-SA"/>
        </w:rPr>
        <w:t>未减空白介质土壤培养液</w:t>
      </w:r>
      <w:r>
        <w:rPr>
          <w:rFonts w:hint="eastAsia" w:ascii="Times New Roman" w:hAnsi="Times New Roman" w:eastAsia="宋体" w:cs="Times New Roman"/>
          <w:b w:val="0"/>
          <w:bCs w:val="0"/>
          <w:color w:val="auto"/>
          <w:kern w:val="2"/>
          <w:sz w:val="24"/>
          <w:szCs w:val="24"/>
          <w:vertAlign w:val="baseline"/>
          <w:lang w:val="en-US" w:eastAsia="zh-CN" w:bidi="ar-SA"/>
        </w:rPr>
        <w:t>的硝化潜势差异率进行了对比，依旧发现</w:t>
      </w:r>
      <w:r>
        <w:rPr>
          <w:rFonts w:hint="default" w:ascii="Times New Roman" w:hAnsi="Times New Roman" w:eastAsia="宋体" w:cs="Times New Roman"/>
          <w:b w:val="0"/>
          <w:bCs w:val="0"/>
          <w:color w:val="auto"/>
          <w:kern w:val="2"/>
          <w:sz w:val="24"/>
          <w:szCs w:val="24"/>
          <w:vertAlign w:val="baseline"/>
          <w:lang w:val="en-US" w:eastAsia="zh-CN" w:bidi="ar-SA"/>
        </w:rPr>
        <w:t>减空白介质土壤培养液</w:t>
      </w:r>
      <w:r>
        <w:rPr>
          <w:rFonts w:hint="eastAsia" w:ascii="Times New Roman" w:hAnsi="Times New Roman" w:eastAsia="宋体" w:cs="Times New Roman"/>
          <w:b w:val="0"/>
          <w:bCs w:val="0"/>
          <w:color w:val="auto"/>
          <w:kern w:val="2"/>
          <w:sz w:val="24"/>
          <w:szCs w:val="24"/>
          <w:vertAlign w:val="baseline"/>
          <w:lang w:val="en-US" w:eastAsia="zh-CN" w:bidi="ar-SA"/>
        </w:rPr>
        <w:t>的硝化潜势差异率明显增加，与5.23部分的研究结果一致，同样证实土壤本身氮对硝化潜势差异率影响重大，在采用肥料引起的硝化潜势差异率评价稳定性肥料的硝化抑制效果时，必须去除土壤氮对硝化潜势的影响，只保留稳定性肥料引起的那部分差异。</w:t>
      </w:r>
    </w:p>
    <w:p w14:paraId="38AF2C92">
      <w:pPr>
        <w:keepLines w:val="0"/>
        <w:pageBreakBefore w:val="0"/>
        <w:wordWrap/>
        <w:overflowPunct/>
        <w:topLinePunct w:val="0"/>
        <w:bidi w:val="0"/>
        <w:spacing w:line="360" w:lineRule="auto"/>
        <w:ind w:firstLine="422" w:firstLineChars="200"/>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b/>
          <w:bCs/>
          <w:szCs w:val="21"/>
          <w:lang w:val="en-US" w:eastAsia="zh-CN"/>
        </w:rPr>
        <w:t>表17 48个稳定性肥料的</w:t>
      </w:r>
      <w:r>
        <w:rPr>
          <w:rFonts w:hint="eastAsia" w:ascii="Times New Roman" w:hAnsi="Times New Roman" w:eastAsia="宋体" w:cs="Times New Roman"/>
          <w:b/>
          <w:szCs w:val="21"/>
          <w:lang w:val="en-US" w:eastAsia="zh-CN"/>
        </w:rPr>
        <w:t>土壤硝化潜势差异率（RNP）</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1"/>
        <w:gridCol w:w="1786"/>
        <w:gridCol w:w="2627"/>
        <w:gridCol w:w="2235"/>
      </w:tblGrid>
      <w:tr w14:paraId="4D658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098" w:type="pct"/>
          </w:tcPr>
          <w:p w14:paraId="756656F6">
            <w:pPr>
              <w:keepLines w:val="0"/>
              <w:pageBreakBefore w:val="0"/>
              <w:wordWrap/>
              <w:overflowPunct/>
              <w:topLinePunct w:val="0"/>
              <w:bidi w:val="0"/>
              <w:spacing w:line="360" w:lineRule="auto"/>
              <w:rPr>
                <w:rFonts w:hint="default" w:ascii="Times New Roman" w:hAnsi="Times New Roman" w:eastAsia="宋体" w:cs="Times New Roman"/>
                <w:b w:val="0"/>
                <w:bCs w:val="0"/>
                <w:sz w:val="18"/>
                <w:szCs w:val="18"/>
              </w:rPr>
            </w:pPr>
          </w:p>
        </w:tc>
        <w:tc>
          <w:tcPr>
            <w:tcW w:w="1048" w:type="pct"/>
            <w:vAlign w:val="center"/>
          </w:tcPr>
          <w:p w14:paraId="4D016A80">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b w:val="0"/>
                <w:bCs w:val="0"/>
                <w:sz w:val="18"/>
                <w:szCs w:val="18"/>
                <w:lang w:val="en-US" w:eastAsia="zh-CN"/>
              </w:rPr>
            </w:pPr>
            <w:r>
              <w:rPr>
                <w:rStyle w:val="14"/>
                <w:rFonts w:hint="default" w:ascii="Times New Roman" w:hAnsi="Times New Roman" w:cs="Times New Roman"/>
                <w:b w:val="0"/>
                <w:bCs w:val="0"/>
                <w:sz w:val="18"/>
                <w:szCs w:val="18"/>
                <w:lang w:val="en-US" w:eastAsia="zh-CN" w:bidi="ar"/>
              </w:rPr>
              <w:t>配方</w:t>
            </w:r>
          </w:p>
        </w:tc>
        <w:tc>
          <w:tcPr>
            <w:tcW w:w="1541" w:type="pct"/>
            <w:vAlign w:val="center"/>
          </w:tcPr>
          <w:p w14:paraId="57CCE157">
            <w:pPr>
              <w:keepNext w:val="0"/>
              <w:keepLines w:val="0"/>
              <w:pageBreakBefore w:val="0"/>
              <w:widowControl/>
              <w:suppressLineNumbers w:val="0"/>
              <w:wordWrap/>
              <w:overflowPunct/>
              <w:topLinePunct w:val="0"/>
              <w:bidi w:val="0"/>
              <w:spacing w:line="360" w:lineRule="auto"/>
              <w:jc w:val="left"/>
              <w:textAlignment w:val="center"/>
              <w:rPr>
                <w:rStyle w:val="14"/>
                <w:rFonts w:hint="default" w:ascii="Times New Roman" w:hAnsi="Times New Roman" w:cs="Times New Roman"/>
                <w:b w:val="0"/>
                <w:bCs w:val="0"/>
                <w:sz w:val="18"/>
                <w:szCs w:val="18"/>
                <w:lang w:val="en-US" w:eastAsia="zh-CN" w:bidi="ar"/>
              </w:rPr>
            </w:pPr>
            <w:r>
              <w:rPr>
                <w:rStyle w:val="14"/>
                <w:rFonts w:hint="eastAsia" w:ascii="Times New Roman" w:hAnsi="Times New Roman" w:cs="Times New Roman"/>
                <w:b w:val="0"/>
                <w:bCs w:val="0"/>
                <w:sz w:val="18"/>
                <w:szCs w:val="18"/>
                <w:lang w:val="en-US" w:eastAsia="zh-CN" w:bidi="ar"/>
              </w:rPr>
              <w:t>RNP %</w:t>
            </w:r>
          </w:p>
        </w:tc>
        <w:tc>
          <w:tcPr>
            <w:tcW w:w="1311" w:type="pct"/>
            <w:vAlign w:val="center"/>
          </w:tcPr>
          <w:p w14:paraId="2E3091F1">
            <w:pPr>
              <w:keepNext w:val="0"/>
              <w:keepLines w:val="0"/>
              <w:pageBreakBefore w:val="0"/>
              <w:widowControl/>
              <w:suppressLineNumbers w:val="0"/>
              <w:wordWrap/>
              <w:overflowPunct/>
              <w:topLinePunct w:val="0"/>
              <w:bidi w:val="0"/>
              <w:spacing w:line="360" w:lineRule="auto"/>
              <w:jc w:val="left"/>
              <w:textAlignment w:val="center"/>
              <w:rPr>
                <w:rStyle w:val="14"/>
                <w:rFonts w:hint="default" w:ascii="Times New Roman" w:hAnsi="Times New Roman" w:cs="Times New Roman"/>
                <w:b w:val="0"/>
                <w:bCs w:val="0"/>
                <w:sz w:val="18"/>
                <w:szCs w:val="18"/>
                <w:lang w:val="en-US" w:eastAsia="zh-CN" w:bidi="ar"/>
              </w:rPr>
            </w:pPr>
            <w:r>
              <w:rPr>
                <w:rStyle w:val="14"/>
                <w:rFonts w:hint="eastAsia" w:ascii="Times New Roman" w:hAnsi="Times New Roman" w:cs="Times New Roman"/>
                <w:b w:val="0"/>
                <w:bCs w:val="0"/>
                <w:sz w:val="18"/>
                <w:szCs w:val="18"/>
                <w:lang w:val="en-US" w:eastAsia="zh-CN" w:bidi="ar"/>
              </w:rPr>
              <w:t>RNP %</w:t>
            </w:r>
          </w:p>
        </w:tc>
      </w:tr>
      <w:tr w14:paraId="5E39F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098" w:type="pct"/>
          </w:tcPr>
          <w:p w14:paraId="1B58E79F">
            <w:pPr>
              <w:keepLines w:val="0"/>
              <w:pageBreakBefore w:val="0"/>
              <w:wordWrap/>
              <w:overflowPunct/>
              <w:topLinePunct w:val="0"/>
              <w:bidi w:val="0"/>
              <w:spacing w:line="360" w:lineRule="auto"/>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b w:val="0"/>
                <w:bCs w:val="0"/>
                <w:sz w:val="18"/>
                <w:szCs w:val="18"/>
                <w:lang w:val="en-US" w:eastAsia="zh-CN"/>
              </w:rPr>
              <w:t>测定方法</w:t>
            </w:r>
          </w:p>
        </w:tc>
        <w:tc>
          <w:tcPr>
            <w:tcW w:w="1048" w:type="pct"/>
            <w:vAlign w:val="center"/>
          </w:tcPr>
          <w:p w14:paraId="409F0180">
            <w:pPr>
              <w:keepNext w:val="0"/>
              <w:keepLines w:val="0"/>
              <w:pageBreakBefore w:val="0"/>
              <w:widowControl/>
              <w:suppressLineNumbers w:val="0"/>
              <w:wordWrap/>
              <w:overflowPunct/>
              <w:topLinePunct w:val="0"/>
              <w:bidi w:val="0"/>
              <w:spacing w:line="360" w:lineRule="auto"/>
              <w:jc w:val="center"/>
              <w:textAlignment w:val="center"/>
              <w:rPr>
                <w:rStyle w:val="14"/>
                <w:rFonts w:hint="default" w:ascii="Times New Roman" w:hAnsi="Times New Roman" w:cs="Times New Roman"/>
                <w:b w:val="0"/>
                <w:bCs w:val="0"/>
                <w:sz w:val="18"/>
                <w:szCs w:val="18"/>
                <w:lang w:val="en-US" w:eastAsia="zh-CN" w:bidi="ar"/>
              </w:rPr>
            </w:pPr>
          </w:p>
        </w:tc>
        <w:tc>
          <w:tcPr>
            <w:tcW w:w="1541" w:type="pct"/>
            <w:vAlign w:val="center"/>
          </w:tcPr>
          <w:p w14:paraId="4EC8A474">
            <w:pPr>
              <w:keepNext w:val="0"/>
              <w:keepLines w:val="0"/>
              <w:pageBreakBefore w:val="0"/>
              <w:widowControl/>
              <w:suppressLineNumbers w:val="0"/>
              <w:wordWrap/>
              <w:overflowPunct/>
              <w:topLinePunct w:val="0"/>
              <w:bidi w:val="0"/>
              <w:spacing w:line="360" w:lineRule="auto"/>
              <w:jc w:val="left"/>
              <w:textAlignment w:val="center"/>
              <w:rPr>
                <w:rStyle w:val="14"/>
                <w:rFonts w:hint="default" w:ascii="Times New Roman" w:hAnsi="Times New Roman" w:cs="Times New Roman"/>
                <w:b w:val="0"/>
                <w:bCs w:val="0"/>
                <w:sz w:val="18"/>
                <w:szCs w:val="18"/>
                <w:lang w:val="en-US" w:eastAsia="zh-CN" w:bidi="ar"/>
              </w:rPr>
            </w:pPr>
            <w:r>
              <w:rPr>
                <w:rStyle w:val="14"/>
                <w:rFonts w:hint="eastAsia" w:ascii="Times New Roman" w:hAnsi="Times New Roman" w:cs="Times New Roman"/>
                <w:b w:val="0"/>
                <w:bCs w:val="0"/>
                <w:sz w:val="18"/>
                <w:szCs w:val="18"/>
                <w:lang w:val="en-US" w:eastAsia="zh-CN" w:bidi="ar"/>
              </w:rPr>
              <w:t>减空白介质培养溶液</w:t>
            </w:r>
          </w:p>
        </w:tc>
        <w:tc>
          <w:tcPr>
            <w:tcW w:w="1311" w:type="pct"/>
            <w:vAlign w:val="center"/>
          </w:tcPr>
          <w:p w14:paraId="701C1729">
            <w:pPr>
              <w:keepNext w:val="0"/>
              <w:keepLines w:val="0"/>
              <w:pageBreakBefore w:val="0"/>
              <w:widowControl/>
              <w:suppressLineNumbers w:val="0"/>
              <w:wordWrap/>
              <w:overflowPunct/>
              <w:topLinePunct w:val="0"/>
              <w:bidi w:val="0"/>
              <w:spacing w:line="360" w:lineRule="auto"/>
              <w:jc w:val="left"/>
              <w:textAlignment w:val="center"/>
              <w:rPr>
                <w:rStyle w:val="14"/>
                <w:rFonts w:hint="default" w:ascii="Times New Roman" w:hAnsi="Times New Roman" w:cs="Times New Roman"/>
                <w:b w:val="0"/>
                <w:bCs w:val="0"/>
                <w:sz w:val="18"/>
                <w:szCs w:val="18"/>
                <w:lang w:val="en-US" w:eastAsia="zh-CN" w:bidi="ar"/>
              </w:rPr>
            </w:pPr>
            <w:r>
              <w:rPr>
                <w:rStyle w:val="14"/>
                <w:rFonts w:hint="eastAsia" w:ascii="Times New Roman" w:hAnsi="Times New Roman" w:cs="Times New Roman"/>
                <w:b w:val="0"/>
                <w:bCs w:val="0"/>
                <w:sz w:val="18"/>
                <w:szCs w:val="18"/>
                <w:lang w:val="en-US" w:eastAsia="zh-CN" w:bidi="ar"/>
              </w:rPr>
              <w:t>不减空白介质培养溶液</w:t>
            </w:r>
          </w:p>
        </w:tc>
      </w:tr>
      <w:tr w14:paraId="70AA0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098" w:type="pct"/>
          </w:tcPr>
          <w:p w14:paraId="703E71C8">
            <w:pPr>
              <w:keepLines w:val="0"/>
              <w:pageBreakBefore w:val="0"/>
              <w:wordWrap/>
              <w:overflowPunct/>
              <w:topLinePunct w:val="0"/>
              <w:bidi w:val="0"/>
              <w:spacing w:line="360" w:lineRule="auto"/>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（1）</w:t>
            </w:r>
          </w:p>
        </w:tc>
        <w:tc>
          <w:tcPr>
            <w:tcW w:w="1048" w:type="pct"/>
            <w:vAlign w:val="center"/>
          </w:tcPr>
          <w:p w14:paraId="6BD3505B">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i w:val="0"/>
                <w:iCs w:val="0"/>
                <w:color w:val="000000"/>
                <w:kern w:val="0"/>
                <w:sz w:val="18"/>
                <w:szCs w:val="18"/>
                <w:u w:val="none"/>
                <w:lang w:val="en-US" w:eastAsia="zh-CN" w:bidi="ar"/>
              </w:rPr>
              <w:t>26-10-12</w:t>
            </w:r>
          </w:p>
        </w:tc>
        <w:tc>
          <w:tcPr>
            <w:tcW w:w="1541" w:type="pct"/>
            <w:vAlign w:val="center"/>
          </w:tcPr>
          <w:p w14:paraId="6705C7DA">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0"/>
                <w:sz w:val="18"/>
                <w:szCs w:val="18"/>
                <w:u w:val="none"/>
                <w:lang w:val="en-US" w:eastAsia="zh-CN" w:bidi="ar"/>
              </w:rPr>
            </w:pPr>
            <w:r>
              <w:rPr>
                <w:rFonts w:hint="eastAsia" w:ascii="Times New Roman" w:hAnsi="Times New Roman" w:eastAsia="宋体" w:cs="Times New Roman"/>
                <w:b w:val="0"/>
                <w:bCs w:val="0"/>
                <w:i w:val="0"/>
                <w:iCs w:val="0"/>
                <w:color w:val="000000"/>
                <w:kern w:val="0"/>
                <w:sz w:val="18"/>
                <w:szCs w:val="18"/>
                <w:u w:val="none"/>
                <w:lang w:val="en-US" w:eastAsia="zh-CN" w:bidi="ar"/>
              </w:rPr>
              <w:t>15.31</w:t>
            </w:r>
          </w:p>
        </w:tc>
        <w:tc>
          <w:tcPr>
            <w:tcW w:w="1311" w:type="pct"/>
            <w:shd w:val="clear" w:color="auto" w:fill="auto"/>
            <w:vAlign w:val="center"/>
          </w:tcPr>
          <w:p w14:paraId="512EEEAB">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0"/>
                <w:sz w:val="18"/>
                <w:szCs w:val="18"/>
                <w:u w:val="none"/>
                <w:lang w:val="en-US" w:eastAsia="zh-CN" w:bidi="ar"/>
              </w:rPr>
            </w:pPr>
            <w:r>
              <w:rPr>
                <w:rFonts w:hint="eastAsia" w:ascii="Times New Roman" w:hAnsi="Times New Roman" w:eastAsia="宋体" w:cs="Times New Roman"/>
                <w:b w:val="0"/>
                <w:bCs w:val="0"/>
                <w:i w:val="0"/>
                <w:iCs w:val="0"/>
                <w:color w:val="000000"/>
                <w:kern w:val="0"/>
                <w:sz w:val="18"/>
                <w:szCs w:val="18"/>
                <w:u w:val="none"/>
                <w:lang w:val="en-US" w:eastAsia="zh-CN" w:bidi="ar"/>
              </w:rPr>
              <w:t>2.66</w:t>
            </w:r>
          </w:p>
        </w:tc>
      </w:tr>
      <w:tr w14:paraId="069BB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pct"/>
          </w:tcPr>
          <w:p w14:paraId="32DD4124">
            <w:pPr>
              <w:keepLines w:val="0"/>
              <w:pageBreakBefore w:val="0"/>
              <w:wordWrap/>
              <w:overflowPunct/>
              <w:topLinePunct w:val="0"/>
              <w:bidi w:val="0"/>
              <w:spacing w:line="360" w:lineRule="auto"/>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（2）</w:t>
            </w:r>
          </w:p>
        </w:tc>
        <w:tc>
          <w:tcPr>
            <w:tcW w:w="1048" w:type="pct"/>
            <w:vAlign w:val="center"/>
          </w:tcPr>
          <w:p w14:paraId="626F65FE">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i w:val="0"/>
                <w:iCs w:val="0"/>
                <w:color w:val="000000"/>
                <w:kern w:val="0"/>
                <w:sz w:val="18"/>
                <w:szCs w:val="18"/>
                <w:u w:val="none"/>
                <w:lang w:val="en-US" w:eastAsia="zh-CN" w:bidi="ar"/>
              </w:rPr>
              <w:t>26-11-11</w:t>
            </w:r>
          </w:p>
        </w:tc>
        <w:tc>
          <w:tcPr>
            <w:tcW w:w="1541" w:type="pct"/>
            <w:vAlign w:val="center"/>
          </w:tcPr>
          <w:p w14:paraId="78D1DF77">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0"/>
                <w:sz w:val="18"/>
                <w:szCs w:val="18"/>
                <w:u w:val="none"/>
                <w:lang w:val="en-US" w:eastAsia="zh-CN" w:bidi="ar"/>
              </w:rPr>
            </w:pPr>
            <w:r>
              <w:rPr>
                <w:rFonts w:hint="eastAsia" w:ascii="Times New Roman" w:hAnsi="Times New Roman" w:eastAsia="宋体" w:cs="Times New Roman"/>
                <w:b w:val="0"/>
                <w:bCs w:val="0"/>
                <w:i w:val="0"/>
                <w:iCs w:val="0"/>
                <w:color w:val="000000"/>
                <w:kern w:val="0"/>
                <w:sz w:val="18"/>
                <w:szCs w:val="18"/>
                <w:u w:val="none"/>
                <w:lang w:val="en-US" w:eastAsia="zh-CN" w:bidi="ar"/>
              </w:rPr>
              <w:t>81.82</w:t>
            </w:r>
          </w:p>
        </w:tc>
        <w:tc>
          <w:tcPr>
            <w:tcW w:w="1311" w:type="pct"/>
            <w:shd w:val="clear" w:color="auto" w:fill="auto"/>
            <w:vAlign w:val="center"/>
          </w:tcPr>
          <w:p w14:paraId="65D45A00">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0"/>
                <w:sz w:val="18"/>
                <w:szCs w:val="18"/>
                <w:u w:val="none"/>
                <w:lang w:val="en-US" w:eastAsia="zh-CN" w:bidi="ar"/>
              </w:rPr>
            </w:pPr>
            <w:r>
              <w:rPr>
                <w:rFonts w:hint="eastAsia" w:ascii="Times New Roman" w:hAnsi="Times New Roman" w:eastAsia="宋体" w:cs="Times New Roman"/>
                <w:b w:val="0"/>
                <w:bCs w:val="0"/>
                <w:i w:val="0"/>
                <w:iCs w:val="0"/>
                <w:color w:val="000000"/>
                <w:kern w:val="0"/>
                <w:sz w:val="18"/>
                <w:szCs w:val="18"/>
                <w:u w:val="none"/>
                <w:lang w:val="en-US" w:eastAsia="zh-CN" w:bidi="ar"/>
              </w:rPr>
              <w:t>7.20</w:t>
            </w:r>
          </w:p>
        </w:tc>
      </w:tr>
      <w:tr w14:paraId="536B5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pct"/>
            <w:shd w:val="clear" w:color="auto" w:fill="auto"/>
            <w:vAlign w:val="top"/>
          </w:tcPr>
          <w:p w14:paraId="2110DCAE">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18"/>
                <w:szCs w:val="18"/>
                <w:lang w:val="en-US" w:eastAsia="zh-CN" w:bidi="ar-SA"/>
              </w:rPr>
            </w:pPr>
            <w:r>
              <w:rPr>
                <w:rFonts w:hint="default" w:ascii="Times New Roman" w:hAnsi="Times New Roman" w:eastAsia="宋体" w:cs="Times New Roman"/>
                <w:b w:val="0"/>
                <w:bCs w:val="0"/>
                <w:sz w:val="18"/>
                <w:szCs w:val="18"/>
              </w:rPr>
              <w:t>（3）</w:t>
            </w:r>
          </w:p>
        </w:tc>
        <w:tc>
          <w:tcPr>
            <w:tcW w:w="1048" w:type="pct"/>
            <w:vAlign w:val="center"/>
          </w:tcPr>
          <w:p w14:paraId="1C69F366">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i w:val="0"/>
                <w:iCs w:val="0"/>
                <w:color w:val="000000"/>
                <w:kern w:val="0"/>
                <w:sz w:val="18"/>
                <w:szCs w:val="18"/>
                <w:u w:val="none"/>
                <w:lang w:val="en-US" w:eastAsia="zh-CN" w:bidi="ar"/>
              </w:rPr>
              <w:t>25-10-10</w:t>
            </w:r>
          </w:p>
        </w:tc>
        <w:tc>
          <w:tcPr>
            <w:tcW w:w="1541" w:type="pct"/>
            <w:vAlign w:val="center"/>
          </w:tcPr>
          <w:p w14:paraId="1C686608">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B0F0"/>
                <w:kern w:val="0"/>
                <w:sz w:val="18"/>
                <w:szCs w:val="18"/>
                <w:u w:val="none"/>
                <w:lang w:val="en-US" w:eastAsia="zh-CN" w:bidi="ar"/>
              </w:rPr>
            </w:pPr>
            <w:r>
              <w:rPr>
                <w:rFonts w:hint="eastAsia" w:ascii="Times New Roman" w:hAnsi="Times New Roman" w:eastAsia="宋体" w:cs="Times New Roman"/>
                <w:b w:val="0"/>
                <w:bCs w:val="0"/>
                <w:i w:val="0"/>
                <w:iCs w:val="0"/>
                <w:color w:val="00B0F0"/>
                <w:kern w:val="0"/>
                <w:sz w:val="18"/>
                <w:szCs w:val="18"/>
                <w:u w:val="none"/>
                <w:lang w:val="en-US" w:eastAsia="zh-CN" w:bidi="ar"/>
              </w:rPr>
              <w:t>-2.63</w:t>
            </w:r>
          </w:p>
        </w:tc>
        <w:tc>
          <w:tcPr>
            <w:tcW w:w="1311" w:type="pct"/>
            <w:shd w:val="clear" w:color="auto" w:fill="auto"/>
            <w:vAlign w:val="center"/>
          </w:tcPr>
          <w:p w14:paraId="75D78232">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B0F0"/>
                <w:kern w:val="0"/>
                <w:sz w:val="18"/>
                <w:szCs w:val="18"/>
                <w:u w:val="none"/>
                <w:lang w:val="en-US" w:eastAsia="zh-CN" w:bidi="ar"/>
              </w:rPr>
            </w:pPr>
            <w:r>
              <w:rPr>
                <w:rFonts w:hint="eastAsia" w:ascii="Times New Roman" w:hAnsi="Times New Roman" w:eastAsia="宋体" w:cs="Times New Roman"/>
                <w:b w:val="0"/>
                <w:bCs w:val="0"/>
                <w:i w:val="0"/>
                <w:iCs w:val="0"/>
                <w:color w:val="00B0F0"/>
                <w:kern w:val="0"/>
                <w:sz w:val="18"/>
                <w:szCs w:val="18"/>
                <w:u w:val="none"/>
                <w:lang w:val="en-US" w:eastAsia="zh-CN" w:bidi="ar"/>
              </w:rPr>
              <w:t>-0.19</w:t>
            </w:r>
          </w:p>
        </w:tc>
      </w:tr>
      <w:tr w14:paraId="53EA4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pct"/>
            <w:shd w:val="clear" w:color="auto" w:fill="auto"/>
            <w:vAlign w:val="top"/>
          </w:tcPr>
          <w:p w14:paraId="019781ED">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18"/>
                <w:szCs w:val="18"/>
                <w:lang w:val="en-US" w:eastAsia="zh-CN" w:bidi="ar-SA"/>
              </w:rPr>
            </w:pPr>
            <w:r>
              <w:rPr>
                <w:rFonts w:hint="default" w:ascii="Times New Roman" w:hAnsi="Times New Roman" w:eastAsia="宋体" w:cs="Times New Roman"/>
                <w:b w:val="0"/>
                <w:bCs w:val="0"/>
                <w:sz w:val="18"/>
                <w:szCs w:val="18"/>
              </w:rPr>
              <w:t>（4）</w:t>
            </w:r>
          </w:p>
        </w:tc>
        <w:tc>
          <w:tcPr>
            <w:tcW w:w="1048" w:type="pct"/>
            <w:vAlign w:val="center"/>
          </w:tcPr>
          <w:p w14:paraId="71B2BD35">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b w:val="0"/>
                <w:bCs w:val="0"/>
                <w:i w:val="0"/>
                <w:iCs w:val="0"/>
                <w:color w:val="000000"/>
                <w:kern w:val="0"/>
                <w:sz w:val="18"/>
                <w:szCs w:val="18"/>
                <w:u w:val="none"/>
                <w:lang w:val="en-US" w:eastAsia="zh-CN" w:bidi="ar"/>
              </w:rPr>
              <w:t>26-10-12</w:t>
            </w:r>
          </w:p>
        </w:tc>
        <w:tc>
          <w:tcPr>
            <w:tcW w:w="1541" w:type="pct"/>
            <w:vAlign w:val="center"/>
          </w:tcPr>
          <w:p w14:paraId="44C3CD18">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0"/>
                <w:sz w:val="18"/>
                <w:szCs w:val="18"/>
                <w:u w:val="none"/>
                <w:lang w:val="en-US" w:eastAsia="zh-CN" w:bidi="ar"/>
              </w:rPr>
            </w:pPr>
            <w:r>
              <w:rPr>
                <w:rFonts w:hint="eastAsia" w:ascii="Times New Roman" w:hAnsi="Times New Roman" w:eastAsia="宋体" w:cs="Times New Roman"/>
                <w:b w:val="0"/>
                <w:bCs w:val="0"/>
                <w:i w:val="0"/>
                <w:iCs w:val="0"/>
                <w:color w:val="000000"/>
                <w:kern w:val="0"/>
                <w:sz w:val="18"/>
                <w:szCs w:val="18"/>
                <w:u w:val="none"/>
                <w:lang w:val="en-US" w:eastAsia="zh-CN" w:bidi="ar"/>
              </w:rPr>
              <w:t>39.36</w:t>
            </w:r>
          </w:p>
        </w:tc>
        <w:tc>
          <w:tcPr>
            <w:tcW w:w="1311" w:type="pct"/>
            <w:shd w:val="clear" w:color="auto" w:fill="auto"/>
            <w:vAlign w:val="center"/>
          </w:tcPr>
          <w:p w14:paraId="2E180A3E">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0"/>
                <w:sz w:val="18"/>
                <w:szCs w:val="18"/>
                <w:u w:val="none"/>
                <w:lang w:val="en-US" w:eastAsia="zh-CN" w:bidi="ar"/>
              </w:rPr>
            </w:pPr>
            <w:r>
              <w:rPr>
                <w:rFonts w:hint="eastAsia" w:ascii="Times New Roman" w:hAnsi="Times New Roman" w:eastAsia="宋体" w:cs="Times New Roman"/>
                <w:b w:val="0"/>
                <w:bCs w:val="0"/>
                <w:i w:val="0"/>
                <w:iCs w:val="0"/>
                <w:color w:val="000000"/>
                <w:kern w:val="0"/>
                <w:sz w:val="18"/>
                <w:szCs w:val="18"/>
                <w:u w:val="none"/>
                <w:lang w:val="en-US" w:eastAsia="zh-CN" w:bidi="ar"/>
              </w:rPr>
              <w:t>10.73</w:t>
            </w:r>
          </w:p>
        </w:tc>
      </w:tr>
      <w:tr w14:paraId="5C025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pct"/>
            <w:shd w:val="clear" w:color="auto" w:fill="auto"/>
            <w:vAlign w:val="top"/>
          </w:tcPr>
          <w:p w14:paraId="3E9D609A">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18"/>
                <w:szCs w:val="18"/>
                <w:lang w:val="en-US" w:eastAsia="zh-CN" w:bidi="ar-SA"/>
              </w:rPr>
            </w:pPr>
            <w:r>
              <w:rPr>
                <w:rFonts w:hint="default" w:ascii="Times New Roman" w:hAnsi="Times New Roman" w:eastAsia="宋体" w:cs="Times New Roman"/>
                <w:b w:val="0"/>
                <w:bCs w:val="0"/>
                <w:sz w:val="18"/>
                <w:szCs w:val="18"/>
              </w:rPr>
              <w:t>（5）</w:t>
            </w:r>
          </w:p>
        </w:tc>
        <w:tc>
          <w:tcPr>
            <w:tcW w:w="1048" w:type="pct"/>
            <w:vAlign w:val="center"/>
          </w:tcPr>
          <w:p w14:paraId="1034E233">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b w:val="0"/>
                <w:bCs w:val="0"/>
                <w:i w:val="0"/>
                <w:iCs w:val="0"/>
                <w:color w:val="000000"/>
                <w:kern w:val="0"/>
                <w:sz w:val="18"/>
                <w:szCs w:val="18"/>
                <w:u w:val="none"/>
                <w:lang w:val="en-US" w:eastAsia="zh-CN" w:bidi="ar"/>
              </w:rPr>
              <w:t>26-10-12</w:t>
            </w:r>
          </w:p>
        </w:tc>
        <w:tc>
          <w:tcPr>
            <w:tcW w:w="1541" w:type="pct"/>
            <w:vAlign w:val="center"/>
          </w:tcPr>
          <w:p w14:paraId="092078F4">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0"/>
                <w:sz w:val="18"/>
                <w:szCs w:val="18"/>
                <w:u w:val="none"/>
                <w:lang w:val="en-US" w:eastAsia="zh-CN" w:bidi="ar"/>
              </w:rPr>
            </w:pPr>
            <w:r>
              <w:rPr>
                <w:rFonts w:hint="eastAsia" w:ascii="Times New Roman" w:hAnsi="Times New Roman" w:eastAsia="宋体" w:cs="Times New Roman"/>
                <w:b w:val="0"/>
                <w:bCs w:val="0"/>
                <w:i w:val="0"/>
                <w:iCs w:val="0"/>
                <w:color w:val="000000"/>
                <w:kern w:val="0"/>
                <w:sz w:val="18"/>
                <w:szCs w:val="18"/>
                <w:u w:val="none"/>
                <w:lang w:val="en-US" w:eastAsia="zh-CN" w:bidi="ar"/>
              </w:rPr>
              <w:t>32.93</w:t>
            </w:r>
          </w:p>
        </w:tc>
        <w:tc>
          <w:tcPr>
            <w:tcW w:w="1311" w:type="pct"/>
            <w:shd w:val="clear" w:color="auto" w:fill="auto"/>
            <w:vAlign w:val="center"/>
          </w:tcPr>
          <w:p w14:paraId="2807B1D3">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0"/>
                <w:sz w:val="18"/>
                <w:szCs w:val="18"/>
                <w:u w:val="none"/>
                <w:lang w:val="en-US" w:eastAsia="zh-CN" w:bidi="ar"/>
              </w:rPr>
            </w:pPr>
            <w:r>
              <w:rPr>
                <w:rFonts w:hint="eastAsia" w:ascii="Times New Roman" w:hAnsi="Times New Roman" w:eastAsia="宋体" w:cs="Times New Roman"/>
                <w:b w:val="0"/>
                <w:bCs w:val="0"/>
                <w:i w:val="0"/>
                <w:iCs w:val="0"/>
                <w:color w:val="000000"/>
                <w:kern w:val="0"/>
                <w:sz w:val="18"/>
                <w:szCs w:val="18"/>
                <w:u w:val="none"/>
                <w:lang w:val="en-US" w:eastAsia="zh-CN" w:bidi="ar"/>
              </w:rPr>
              <w:t>8.26</w:t>
            </w:r>
          </w:p>
        </w:tc>
      </w:tr>
      <w:tr w14:paraId="5BEE1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pct"/>
            <w:shd w:val="clear" w:color="auto" w:fill="auto"/>
            <w:vAlign w:val="top"/>
          </w:tcPr>
          <w:p w14:paraId="28AC802D">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18"/>
                <w:szCs w:val="18"/>
                <w:lang w:val="en-US" w:eastAsia="zh-CN" w:bidi="ar-SA"/>
              </w:rPr>
            </w:pPr>
            <w:r>
              <w:rPr>
                <w:rFonts w:hint="default" w:ascii="Times New Roman" w:hAnsi="Times New Roman" w:eastAsia="宋体" w:cs="Times New Roman"/>
                <w:b w:val="0"/>
                <w:bCs w:val="0"/>
                <w:sz w:val="18"/>
                <w:szCs w:val="18"/>
              </w:rPr>
              <w:t>（6）</w:t>
            </w:r>
          </w:p>
        </w:tc>
        <w:tc>
          <w:tcPr>
            <w:tcW w:w="1048" w:type="pct"/>
            <w:vAlign w:val="center"/>
          </w:tcPr>
          <w:p w14:paraId="62C7043C">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b w:val="0"/>
                <w:bCs w:val="0"/>
                <w:i w:val="0"/>
                <w:iCs w:val="0"/>
                <w:color w:val="000000"/>
                <w:kern w:val="0"/>
                <w:sz w:val="18"/>
                <w:szCs w:val="18"/>
                <w:u w:val="none"/>
                <w:lang w:val="en-US" w:eastAsia="zh-CN" w:bidi="ar"/>
              </w:rPr>
              <w:t>26-11-11</w:t>
            </w:r>
          </w:p>
        </w:tc>
        <w:tc>
          <w:tcPr>
            <w:tcW w:w="1541" w:type="pct"/>
            <w:vAlign w:val="center"/>
          </w:tcPr>
          <w:p w14:paraId="3C6B72B3">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0"/>
                <w:sz w:val="18"/>
                <w:szCs w:val="18"/>
                <w:u w:val="none"/>
                <w:lang w:val="en-US" w:eastAsia="zh-CN" w:bidi="ar"/>
              </w:rPr>
            </w:pPr>
            <w:r>
              <w:rPr>
                <w:rFonts w:hint="eastAsia" w:ascii="Times New Roman" w:hAnsi="Times New Roman" w:eastAsia="宋体" w:cs="Times New Roman"/>
                <w:b w:val="0"/>
                <w:bCs w:val="0"/>
                <w:i w:val="0"/>
                <w:iCs w:val="0"/>
                <w:color w:val="000000"/>
                <w:kern w:val="0"/>
                <w:sz w:val="18"/>
                <w:szCs w:val="18"/>
                <w:u w:val="none"/>
                <w:lang w:val="en-US" w:eastAsia="zh-CN" w:bidi="ar"/>
              </w:rPr>
              <w:t>13.99</w:t>
            </w:r>
          </w:p>
        </w:tc>
        <w:tc>
          <w:tcPr>
            <w:tcW w:w="1311" w:type="pct"/>
            <w:shd w:val="clear" w:color="auto" w:fill="auto"/>
            <w:vAlign w:val="center"/>
          </w:tcPr>
          <w:p w14:paraId="691B98CB">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0"/>
                <w:sz w:val="18"/>
                <w:szCs w:val="18"/>
                <w:u w:val="none"/>
                <w:lang w:val="en-US" w:eastAsia="zh-CN" w:bidi="ar"/>
              </w:rPr>
            </w:pPr>
            <w:r>
              <w:rPr>
                <w:rFonts w:hint="eastAsia" w:ascii="Times New Roman" w:hAnsi="Times New Roman" w:eastAsia="宋体" w:cs="Times New Roman"/>
                <w:b w:val="0"/>
                <w:bCs w:val="0"/>
                <w:i w:val="0"/>
                <w:iCs w:val="0"/>
                <w:color w:val="000000"/>
                <w:kern w:val="0"/>
                <w:sz w:val="18"/>
                <w:szCs w:val="18"/>
                <w:u w:val="none"/>
                <w:lang w:val="en-US" w:eastAsia="zh-CN" w:bidi="ar"/>
              </w:rPr>
              <w:t>3.08</w:t>
            </w:r>
          </w:p>
        </w:tc>
      </w:tr>
      <w:tr w14:paraId="7FA0F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pct"/>
            <w:shd w:val="clear" w:color="auto" w:fill="auto"/>
            <w:vAlign w:val="top"/>
          </w:tcPr>
          <w:p w14:paraId="27E27003">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18"/>
                <w:szCs w:val="18"/>
                <w:lang w:val="en-US" w:eastAsia="zh-CN" w:bidi="ar-SA"/>
              </w:rPr>
            </w:pPr>
            <w:r>
              <w:rPr>
                <w:rFonts w:hint="default" w:ascii="Times New Roman" w:hAnsi="Times New Roman" w:eastAsia="宋体" w:cs="Times New Roman"/>
                <w:b w:val="0"/>
                <w:bCs w:val="0"/>
                <w:sz w:val="18"/>
                <w:szCs w:val="18"/>
              </w:rPr>
              <w:t>（7）</w:t>
            </w:r>
          </w:p>
        </w:tc>
        <w:tc>
          <w:tcPr>
            <w:tcW w:w="1048" w:type="pct"/>
            <w:vAlign w:val="center"/>
          </w:tcPr>
          <w:p w14:paraId="72F89B24">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i w:val="0"/>
                <w:iCs w:val="0"/>
                <w:color w:val="000000"/>
                <w:kern w:val="0"/>
                <w:sz w:val="18"/>
                <w:szCs w:val="18"/>
                <w:u w:val="none"/>
                <w:lang w:val="en-US" w:eastAsia="zh-CN" w:bidi="ar"/>
              </w:rPr>
              <w:t>26-12-12</w:t>
            </w:r>
          </w:p>
        </w:tc>
        <w:tc>
          <w:tcPr>
            <w:tcW w:w="1541" w:type="pct"/>
            <w:vAlign w:val="center"/>
          </w:tcPr>
          <w:p w14:paraId="56DF65E0">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0"/>
                <w:sz w:val="18"/>
                <w:szCs w:val="18"/>
                <w:u w:val="none"/>
                <w:lang w:val="en-US" w:eastAsia="zh-CN" w:bidi="ar"/>
              </w:rPr>
            </w:pPr>
            <w:r>
              <w:rPr>
                <w:rFonts w:hint="eastAsia" w:ascii="Times New Roman" w:hAnsi="Times New Roman" w:eastAsia="宋体" w:cs="Times New Roman"/>
                <w:b w:val="0"/>
                <w:bCs w:val="0"/>
                <w:i w:val="0"/>
                <w:iCs w:val="0"/>
                <w:color w:val="000000"/>
                <w:kern w:val="0"/>
                <w:sz w:val="18"/>
                <w:szCs w:val="18"/>
                <w:u w:val="none"/>
                <w:lang w:val="en-US" w:eastAsia="zh-CN" w:bidi="ar"/>
              </w:rPr>
              <w:t>21.36</w:t>
            </w:r>
          </w:p>
        </w:tc>
        <w:tc>
          <w:tcPr>
            <w:tcW w:w="1311" w:type="pct"/>
            <w:shd w:val="clear" w:color="auto" w:fill="auto"/>
            <w:vAlign w:val="center"/>
          </w:tcPr>
          <w:p w14:paraId="78951A79">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0"/>
                <w:sz w:val="18"/>
                <w:szCs w:val="18"/>
                <w:u w:val="none"/>
                <w:lang w:val="en-US" w:eastAsia="zh-CN" w:bidi="ar"/>
              </w:rPr>
            </w:pPr>
            <w:r>
              <w:rPr>
                <w:rFonts w:hint="eastAsia" w:ascii="Times New Roman" w:hAnsi="Times New Roman" w:eastAsia="宋体" w:cs="Times New Roman"/>
                <w:b w:val="0"/>
                <w:bCs w:val="0"/>
                <w:i w:val="0"/>
                <w:iCs w:val="0"/>
                <w:color w:val="000000"/>
                <w:kern w:val="0"/>
                <w:sz w:val="18"/>
                <w:szCs w:val="18"/>
                <w:u w:val="none"/>
                <w:lang w:val="en-US" w:eastAsia="zh-CN" w:bidi="ar"/>
              </w:rPr>
              <w:t>4.47</w:t>
            </w:r>
          </w:p>
        </w:tc>
      </w:tr>
      <w:tr w14:paraId="16A9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pct"/>
            <w:shd w:val="clear" w:color="auto" w:fill="auto"/>
            <w:vAlign w:val="top"/>
          </w:tcPr>
          <w:p w14:paraId="7D978A73">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18"/>
                <w:szCs w:val="18"/>
                <w:lang w:val="en-US" w:eastAsia="zh-CN" w:bidi="ar-SA"/>
              </w:rPr>
            </w:pPr>
            <w:r>
              <w:rPr>
                <w:rFonts w:hint="default" w:ascii="Times New Roman" w:hAnsi="Times New Roman" w:eastAsia="宋体" w:cs="Times New Roman"/>
                <w:b w:val="0"/>
                <w:bCs w:val="0"/>
                <w:sz w:val="18"/>
                <w:szCs w:val="18"/>
              </w:rPr>
              <w:t>（8）</w:t>
            </w:r>
          </w:p>
        </w:tc>
        <w:tc>
          <w:tcPr>
            <w:tcW w:w="1048" w:type="pct"/>
            <w:vAlign w:val="center"/>
          </w:tcPr>
          <w:p w14:paraId="5F460635">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i w:val="0"/>
                <w:iCs w:val="0"/>
                <w:color w:val="000000"/>
                <w:kern w:val="0"/>
                <w:sz w:val="18"/>
                <w:szCs w:val="18"/>
                <w:u w:val="none"/>
                <w:lang w:val="en-US" w:eastAsia="zh-CN" w:bidi="ar"/>
              </w:rPr>
              <w:t>26-12-12</w:t>
            </w:r>
          </w:p>
        </w:tc>
        <w:tc>
          <w:tcPr>
            <w:tcW w:w="1541" w:type="pct"/>
            <w:vAlign w:val="center"/>
          </w:tcPr>
          <w:p w14:paraId="7AC0DBF8">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B0F0"/>
                <w:kern w:val="0"/>
                <w:sz w:val="18"/>
                <w:szCs w:val="18"/>
                <w:u w:val="none"/>
                <w:lang w:val="en-US" w:eastAsia="zh-CN" w:bidi="ar"/>
              </w:rPr>
            </w:pPr>
            <w:r>
              <w:rPr>
                <w:rFonts w:hint="eastAsia" w:ascii="Times New Roman" w:hAnsi="Times New Roman" w:eastAsia="宋体" w:cs="Times New Roman"/>
                <w:b w:val="0"/>
                <w:bCs w:val="0"/>
                <w:i w:val="0"/>
                <w:iCs w:val="0"/>
                <w:color w:val="00B0F0"/>
                <w:kern w:val="0"/>
                <w:sz w:val="18"/>
                <w:szCs w:val="18"/>
                <w:u w:val="none"/>
                <w:lang w:val="en-US" w:eastAsia="zh-CN" w:bidi="ar"/>
              </w:rPr>
              <w:t>3.87</w:t>
            </w:r>
          </w:p>
        </w:tc>
        <w:tc>
          <w:tcPr>
            <w:tcW w:w="1311" w:type="pct"/>
            <w:shd w:val="clear" w:color="auto" w:fill="auto"/>
            <w:vAlign w:val="center"/>
          </w:tcPr>
          <w:p w14:paraId="50DBBAD0">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B0F0"/>
                <w:kern w:val="0"/>
                <w:sz w:val="18"/>
                <w:szCs w:val="18"/>
                <w:u w:val="none"/>
                <w:lang w:val="en-US" w:eastAsia="zh-CN" w:bidi="ar"/>
              </w:rPr>
            </w:pPr>
            <w:r>
              <w:rPr>
                <w:rFonts w:hint="eastAsia" w:ascii="Times New Roman" w:hAnsi="Times New Roman" w:eastAsia="宋体" w:cs="Times New Roman"/>
                <w:b w:val="0"/>
                <w:bCs w:val="0"/>
                <w:i w:val="0"/>
                <w:iCs w:val="0"/>
                <w:color w:val="00B0F0"/>
                <w:kern w:val="0"/>
                <w:sz w:val="18"/>
                <w:szCs w:val="18"/>
                <w:u w:val="none"/>
                <w:lang w:val="en-US" w:eastAsia="zh-CN" w:bidi="ar"/>
              </w:rPr>
              <w:t>0.90</w:t>
            </w:r>
          </w:p>
        </w:tc>
      </w:tr>
      <w:tr w14:paraId="314F8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pct"/>
          </w:tcPr>
          <w:p w14:paraId="6169CAD3">
            <w:pPr>
              <w:keepLines w:val="0"/>
              <w:pageBreakBefore w:val="0"/>
              <w:wordWrap/>
              <w:overflowPunct/>
              <w:topLinePunct w:val="0"/>
              <w:bidi w:val="0"/>
              <w:spacing w:line="360" w:lineRule="auto"/>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w:t>
            </w:r>
            <w:r>
              <w:rPr>
                <w:rFonts w:hint="default" w:ascii="Times New Roman" w:hAnsi="Times New Roman" w:eastAsia="宋体" w:cs="Times New Roman"/>
                <w:b w:val="0"/>
                <w:bCs w:val="0"/>
                <w:sz w:val="18"/>
                <w:szCs w:val="18"/>
                <w:lang w:val="en-US" w:eastAsia="zh-CN"/>
              </w:rPr>
              <w:t>9</w:t>
            </w:r>
            <w:r>
              <w:rPr>
                <w:rFonts w:hint="default" w:ascii="Times New Roman" w:hAnsi="Times New Roman" w:eastAsia="宋体" w:cs="Times New Roman"/>
                <w:b w:val="0"/>
                <w:bCs w:val="0"/>
                <w:sz w:val="18"/>
                <w:szCs w:val="18"/>
              </w:rPr>
              <w:t>）</w:t>
            </w:r>
          </w:p>
        </w:tc>
        <w:tc>
          <w:tcPr>
            <w:tcW w:w="1048" w:type="pct"/>
            <w:vAlign w:val="center"/>
          </w:tcPr>
          <w:p w14:paraId="6AAE0C91">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i w:val="0"/>
                <w:iCs w:val="0"/>
                <w:color w:val="000000"/>
                <w:kern w:val="0"/>
                <w:sz w:val="18"/>
                <w:szCs w:val="18"/>
                <w:u w:val="none"/>
                <w:lang w:val="en-US" w:eastAsia="zh-CN" w:bidi="ar"/>
              </w:rPr>
              <w:t>24-15-6</w:t>
            </w:r>
          </w:p>
        </w:tc>
        <w:tc>
          <w:tcPr>
            <w:tcW w:w="1541" w:type="pct"/>
            <w:vAlign w:val="center"/>
          </w:tcPr>
          <w:p w14:paraId="7323CDAD">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eastAsia" w:ascii="Times New Roman" w:hAnsi="Times New Roman" w:eastAsia="宋体" w:cs="Times New Roman"/>
                <w:b w:val="0"/>
                <w:bCs w:val="0"/>
                <w:i w:val="0"/>
                <w:iCs w:val="0"/>
                <w:color w:val="auto"/>
                <w:kern w:val="0"/>
                <w:sz w:val="18"/>
                <w:szCs w:val="18"/>
                <w:u w:val="none"/>
                <w:lang w:val="en-US" w:eastAsia="zh-CN" w:bidi="ar"/>
              </w:rPr>
              <w:t>74.26</w:t>
            </w:r>
          </w:p>
        </w:tc>
        <w:tc>
          <w:tcPr>
            <w:tcW w:w="1311" w:type="pct"/>
            <w:shd w:val="clear" w:color="auto" w:fill="auto"/>
            <w:vAlign w:val="center"/>
          </w:tcPr>
          <w:p w14:paraId="393BBC13">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eastAsia" w:ascii="Times New Roman" w:hAnsi="Times New Roman" w:eastAsia="宋体" w:cs="Times New Roman"/>
                <w:b w:val="0"/>
                <w:bCs w:val="0"/>
                <w:i w:val="0"/>
                <w:iCs w:val="0"/>
                <w:color w:val="auto"/>
                <w:kern w:val="0"/>
                <w:sz w:val="18"/>
                <w:szCs w:val="18"/>
                <w:u w:val="none"/>
                <w:lang w:val="en-US" w:eastAsia="zh-CN" w:bidi="ar"/>
              </w:rPr>
              <w:t>21.08</w:t>
            </w:r>
          </w:p>
        </w:tc>
      </w:tr>
      <w:tr w14:paraId="12334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pct"/>
          </w:tcPr>
          <w:p w14:paraId="074A1DD0">
            <w:pPr>
              <w:keepLines w:val="0"/>
              <w:pageBreakBefore w:val="0"/>
              <w:wordWrap/>
              <w:overflowPunct/>
              <w:topLinePunct w:val="0"/>
              <w:bidi w:val="0"/>
              <w:spacing w:line="360" w:lineRule="auto"/>
              <w:rPr>
                <w:rFonts w:hint="default" w:ascii="Times New Roman" w:hAnsi="Times New Roman" w:eastAsia="宋体" w:cs="Times New Roman"/>
                <w:b w:val="0"/>
                <w:bCs w:val="0"/>
                <w:sz w:val="18"/>
                <w:szCs w:val="18"/>
                <w:lang w:eastAsia="zh-CN"/>
              </w:rPr>
            </w:pPr>
            <w:r>
              <w:rPr>
                <w:rFonts w:hint="default" w:ascii="Times New Roman" w:hAnsi="Times New Roman" w:eastAsia="宋体" w:cs="Times New Roman"/>
                <w:b w:val="0"/>
                <w:bCs w:val="0"/>
                <w:sz w:val="18"/>
                <w:szCs w:val="18"/>
                <w:lang w:eastAsia="zh-CN"/>
              </w:rPr>
              <w:t>（</w:t>
            </w:r>
            <w:r>
              <w:rPr>
                <w:rFonts w:hint="default" w:ascii="Times New Roman" w:hAnsi="Times New Roman" w:eastAsia="宋体" w:cs="Times New Roman"/>
                <w:b w:val="0"/>
                <w:bCs w:val="0"/>
                <w:sz w:val="18"/>
                <w:szCs w:val="18"/>
                <w:lang w:val="en-US" w:eastAsia="zh-CN"/>
              </w:rPr>
              <w:t>13</w:t>
            </w:r>
            <w:r>
              <w:rPr>
                <w:rFonts w:hint="default" w:ascii="Times New Roman" w:hAnsi="Times New Roman" w:eastAsia="宋体" w:cs="Times New Roman"/>
                <w:b w:val="0"/>
                <w:bCs w:val="0"/>
                <w:sz w:val="18"/>
                <w:szCs w:val="18"/>
                <w:lang w:eastAsia="zh-CN"/>
              </w:rPr>
              <w:t>）</w:t>
            </w:r>
          </w:p>
        </w:tc>
        <w:tc>
          <w:tcPr>
            <w:tcW w:w="1048" w:type="pct"/>
            <w:vAlign w:val="center"/>
          </w:tcPr>
          <w:p w14:paraId="25ADDF23">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i w:val="0"/>
                <w:iCs w:val="0"/>
                <w:color w:val="000000"/>
                <w:kern w:val="0"/>
                <w:sz w:val="18"/>
                <w:szCs w:val="18"/>
                <w:u w:val="none"/>
                <w:lang w:val="en-US" w:eastAsia="zh-CN" w:bidi="ar"/>
              </w:rPr>
              <w:t>26-11-11</w:t>
            </w:r>
          </w:p>
        </w:tc>
        <w:tc>
          <w:tcPr>
            <w:tcW w:w="1541" w:type="pct"/>
            <w:vAlign w:val="center"/>
          </w:tcPr>
          <w:p w14:paraId="2C886C18">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0"/>
                <w:sz w:val="18"/>
                <w:szCs w:val="18"/>
                <w:u w:val="none"/>
                <w:lang w:val="en-US" w:eastAsia="zh-CN" w:bidi="ar"/>
              </w:rPr>
            </w:pPr>
            <w:r>
              <w:rPr>
                <w:rFonts w:hint="eastAsia" w:ascii="Times New Roman" w:hAnsi="Times New Roman" w:eastAsia="宋体" w:cs="Times New Roman"/>
                <w:b w:val="0"/>
                <w:bCs w:val="0"/>
                <w:i w:val="0"/>
                <w:iCs w:val="0"/>
                <w:color w:val="000000"/>
                <w:kern w:val="0"/>
                <w:sz w:val="18"/>
                <w:szCs w:val="18"/>
                <w:u w:val="none"/>
                <w:lang w:val="en-US" w:eastAsia="zh-CN" w:bidi="ar"/>
              </w:rPr>
              <w:t>17.54</w:t>
            </w:r>
          </w:p>
        </w:tc>
        <w:tc>
          <w:tcPr>
            <w:tcW w:w="1311" w:type="pct"/>
            <w:shd w:val="clear" w:color="auto" w:fill="auto"/>
            <w:vAlign w:val="center"/>
          </w:tcPr>
          <w:p w14:paraId="32239AB3">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0"/>
                <w:sz w:val="18"/>
                <w:szCs w:val="18"/>
                <w:u w:val="none"/>
                <w:lang w:val="en-US" w:eastAsia="zh-CN" w:bidi="ar"/>
              </w:rPr>
            </w:pPr>
            <w:r>
              <w:rPr>
                <w:rFonts w:hint="eastAsia" w:ascii="Times New Roman" w:hAnsi="Times New Roman" w:eastAsia="宋体" w:cs="Times New Roman"/>
                <w:b w:val="0"/>
                <w:bCs w:val="0"/>
                <w:i w:val="0"/>
                <w:iCs w:val="0"/>
                <w:color w:val="000000"/>
                <w:kern w:val="0"/>
                <w:sz w:val="18"/>
                <w:szCs w:val="18"/>
                <w:u w:val="none"/>
                <w:lang w:val="en-US" w:eastAsia="zh-CN" w:bidi="ar"/>
              </w:rPr>
              <w:t>1.93</w:t>
            </w:r>
          </w:p>
        </w:tc>
      </w:tr>
      <w:tr w14:paraId="15235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pct"/>
          </w:tcPr>
          <w:p w14:paraId="40E8793E">
            <w:pPr>
              <w:keepLines w:val="0"/>
              <w:pageBreakBefore w:val="0"/>
              <w:wordWrap/>
              <w:overflowPunct/>
              <w:topLinePunct w:val="0"/>
              <w:bidi w:val="0"/>
              <w:spacing w:line="360" w:lineRule="auto"/>
              <w:rPr>
                <w:rFonts w:hint="default" w:ascii="Times New Roman" w:hAnsi="Times New Roman" w:eastAsia="宋体" w:cs="Times New Roman"/>
                <w:b w:val="0"/>
                <w:bCs w:val="0"/>
                <w:sz w:val="18"/>
                <w:szCs w:val="18"/>
                <w:lang w:eastAsia="zh-CN"/>
              </w:rPr>
            </w:pPr>
            <w:r>
              <w:rPr>
                <w:rFonts w:hint="default" w:ascii="Times New Roman" w:hAnsi="Times New Roman" w:eastAsia="宋体" w:cs="Times New Roman"/>
                <w:b w:val="0"/>
                <w:bCs w:val="0"/>
                <w:sz w:val="18"/>
                <w:szCs w:val="18"/>
                <w:lang w:eastAsia="zh-CN"/>
              </w:rPr>
              <w:t>（</w:t>
            </w:r>
            <w:r>
              <w:rPr>
                <w:rFonts w:hint="default" w:ascii="Times New Roman" w:hAnsi="Times New Roman" w:eastAsia="宋体" w:cs="Times New Roman"/>
                <w:b w:val="0"/>
                <w:bCs w:val="0"/>
                <w:sz w:val="18"/>
                <w:szCs w:val="18"/>
                <w:lang w:val="en-US" w:eastAsia="zh-CN"/>
              </w:rPr>
              <w:t>14</w:t>
            </w:r>
            <w:r>
              <w:rPr>
                <w:rFonts w:hint="default" w:ascii="Times New Roman" w:hAnsi="Times New Roman" w:eastAsia="宋体" w:cs="Times New Roman"/>
                <w:b w:val="0"/>
                <w:bCs w:val="0"/>
                <w:sz w:val="18"/>
                <w:szCs w:val="18"/>
                <w:lang w:eastAsia="zh-CN"/>
              </w:rPr>
              <w:t>）</w:t>
            </w:r>
          </w:p>
        </w:tc>
        <w:tc>
          <w:tcPr>
            <w:tcW w:w="1048" w:type="pct"/>
            <w:vAlign w:val="center"/>
          </w:tcPr>
          <w:p w14:paraId="40DE662F">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i w:val="0"/>
                <w:iCs w:val="0"/>
                <w:color w:val="000000"/>
                <w:kern w:val="0"/>
                <w:sz w:val="18"/>
                <w:szCs w:val="18"/>
                <w:u w:val="none"/>
                <w:lang w:val="en-US" w:eastAsia="zh-CN" w:bidi="ar"/>
              </w:rPr>
              <w:t>26-11-11</w:t>
            </w:r>
          </w:p>
        </w:tc>
        <w:tc>
          <w:tcPr>
            <w:tcW w:w="1541" w:type="pct"/>
            <w:vAlign w:val="center"/>
          </w:tcPr>
          <w:p w14:paraId="61C04949">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B0F0"/>
                <w:kern w:val="0"/>
                <w:sz w:val="18"/>
                <w:szCs w:val="18"/>
                <w:u w:val="none"/>
                <w:lang w:val="en-US" w:eastAsia="zh-CN" w:bidi="ar"/>
              </w:rPr>
            </w:pPr>
            <w:r>
              <w:rPr>
                <w:rFonts w:hint="eastAsia" w:ascii="Times New Roman" w:hAnsi="Times New Roman" w:eastAsia="宋体" w:cs="Times New Roman"/>
                <w:b w:val="0"/>
                <w:bCs w:val="0"/>
                <w:i w:val="0"/>
                <w:iCs w:val="0"/>
                <w:color w:val="00B0F0"/>
                <w:kern w:val="0"/>
                <w:sz w:val="18"/>
                <w:szCs w:val="18"/>
                <w:u w:val="none"/>
                <w:lang w:val="en-US" w:eastAsia="zh-CN" w:bidi="ar"/>
              </w:rPr>
              <w:t>-6.79</w:t>
            </w:r>
          </w:p>
        </w:tc>
        <w:tc>
          <w:tcPr>
            <w:tcW w:w="1311" w:type="pct"/>
            <w:shd w:val="clear" w:color="auto" w:fill="auto"/>
            <w:vAlign w:val="center"/>
          </w:tcPr>
          <w:p w14:paraId="1B4BA87A">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B0F0"/>
                <w:kern w:val="0"/>
                <w:sz w:val="18"/>
                <w:szCs w:val="18"/>
                <w:u w:val="none"/>
                <w:lang w:val="en-US" w:eastAsia="zh-CN" w:bidi="ar"/>
              </w:rPr>
            </w:pPr>
            <w:r>
              <w:rPr>
                <w:rFonts w:hint="eastAsia" w:ascii="Times New Roman" w:hAnsi="Times New Roman" w:eastAsia="宋体" w:cs="Times New Roman"/>
                <w:b w:val="0"/>
                <w:bCs w:val="0"/>
                <w:i w:val="0"/>
                <w:iCs w:val="0"/>
                <w:color w:val="00B0F0"/>
                <w:kern w:val="0"/>
                <w:sz w:val="18"/>
                <w:szCs w:val="18"/>
                <w:u w:val="none"/>
                <w:lang w:val="en-US" w:eastAsia="zh-CN" w:bidi="ar"/>
              </w:rPr>
              <w:t>-0.82</w:t>
            </w:r>
          </w:p>
        </w:tc>
      </w:tr>
      <w:tr w14:paraId="335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pct"/>
            <w:shd w:val="clear" w:color="auto" w:fill="auto"/>
            <w:vAlign w:val="top"/>
          </w:tcPr>
          <w:p w14:paraId="52B75D98">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18"/>
                <w:szCs w:val="18"/>
                <w:lang w:val="en-US" w:eastAsia="zh-CN" w:bidi="ar-SA"/>
              </w:rPr>
            </w:pPr>
            <w:r>
              <w:rPr>
                <w:rFonts w:hint="default" w:ascii="Times New Roman" w:hAnsi="Times New Roman" w:eastAsia="宋体" w:cs="Times New Roman"/>
                <w:b w:val="0"/>
                <w:bCs w:val="0"/>
                <w:sz w:val="18"/>
                <w:szCs w:val="18"/>
              </w:rPr>
              <w:t>（</w:t>
            </w:r>
            <w:r>
              <w:rPr>
                <w:rFonts w:hint="default" w:ascii="Times New Roman" w:hAnsi="Times New Roman" w:eastAsia="宋体" w:cs="Times New Roman"/>
                <w:b w:val="0"/>
                <w:bCs w:val="0"/>
                <w:sz w:val="18"/>
                <w:szCs w:val="18"/>
                <w:lang w:val="en-US" w:eastAsia="zh-CN"/>
              </w:rPr>
              <w:t>1</w:t>
            </w:r>
            <w:r>
              <w:rPr>
                <w:rFonts w:hint="default" w:ascii="Times New Roman" w:hAnsi="Times New Roman" w:eastAsia="宋体" w:cs="Times New Roman"/>
                <w:b w:val="0"/>
                <w:bCs w:val="0"/>
                <w:sz w:val="18"/>
                <w:szCs w:val="18"/>
              </w:rPr>
              <w:t>6）</w:t>
            </w:r>
          </w:p>
        </w:tc>
        <w:tc>
          <w:tcPr>
            <w:tcW w:w="1048" w:type="pct"/>
            <w:vAlign w:val="center"/>
          </w:tcPr>
          <w:p w14:paraId="1460307C">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i w:val="0"/>
                <w:iCs w:val="0"/>
                <w:color w:val="000000"/>
                <w:kern w:val="0"/>
                <w:sz w:val="18"/>
                <w:szCs w:val="18"/>
                <w:u w:val="none"/>
                <w:lang w:val="en-US" w:eastAsia="zh-CN" w:bidi="ar"/>
              </w:rPr>
              <w:t>26-11-11</w:t>
            </w:r>
          </w:p>
        </w:tc>
        <w:tc>
          <w:tcPr>
            <w:tcW w:w="1541" w:type="pct"/>
            <w:vAlign w:val="center"/>
          </w:tcPr>
          <w:p w14:paraId="2D7FA55D">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B0F0"/>
                <w:kern w:val="0"/>
                <w:sz w:val="18"/>
                <w:szCs w:val="18"/>
                <w:u w:val="none"/>
                <w:lang w:val="en-US" w:eastAsia="zh-CN" w:bidi="ar"/>
              </w:rPr>
            </w:pPr>
            <w:r>
              <w:rPr>
                <w:rFonts w:hint="eastAsia" w:ascii="Times New Roman" w:hAnsi="Times New Roman" w:eastAsia="宋体" w:cs="Times New Roman"/>
                <w:b w:val="0"/>
                <w:bCs w:val="0"/>
                <w:i w:val="0"/>
                <w:iCs w:val="0"/>
                <w:color w:val="00B0F0"/>
                <w:kern w:val="0"/>
                <w:sz w:val="18"/>
                <w:szCs w:val="18"/>
                <w:u w:val="none"/>
                <w:lang w:val="en-US" w:eastAsia="zh-CN" w:bidi="ar"/>
              </w:rPr>
              <w:t>-4.66</w:t>
            </w:r>
          </w:p>
        </w:tc>
        <w:tc>
          <w:tcPr>
            <w:tcW w:w="1311" w:type="pct"/>
            <w:shd w:val="clear" w:color="auto" w:fill="auto"/>
            <w:vAlign w:val="center"/>
          </w:tcPr>
          <w:p w14:paraId="7D0E6BAA">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B0F0"/>
                <w:kern w:val="0"/>
                <w:sz w:val="18"/>
                <w:szCs w:val="18"/>
                <w:u w:val="none"/>
                <w:lang w:val="en-US" w:eastAsia="zh-CN" w:bidi="ar"/>
              </w:rPr>
            </w:pPr>
            <w:r>
              <w:rPr>
                <w:rFonts w:hint="eastAsia" w:ascii="Times New Roman" w:hAnsi="Times New Roman" w:eastAsia="宋体" w:cs="Times New Roman"/>
                <w:b w:val="0"/>
                <w:bCs w:val="0"/>
                <w:i w:val="0"/>
                <w:iCs w:val="0"/>
                <w:color w:val="00B0F0"/>
                <w:kern w:val="0"/>
                <w:sz w:val="18"/>
                <w:szCs w:val="18"/>
                <w:u w:val="none"/>
                <w:lang w:val="en-US" w:eastAsia="zh-CN" w:bidi="ar"/>
              </w:rPr>
              <w:t>-0.38</w:t>
            </w:r>
          </w:p>
        </w:tc>
      </w:tr>
      <w:tr w14:paraId="3E2F4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pct"/>
            <w:shd w:val="clear" w:color="auto" w:fill="auto"/>
            <w:vAlign w:val="top"/>
          </w:tcPr>
          <w:p w14:paraId="2AFF4D16">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18"/>
                <w:szCs w:val="18"/>
                <w:lang w:val="en-US" w:eastAsia="zh-CN" w:bidi="ar-SA"/>
              </w:rPr>
            </w:pPr>
            <w:r>
              <w:rPr>
                <w:rFonts w:hint="default" w:ascii="Times New Roman" w:hAnsi="Times New Roman" w:eastAsia="宋体" w:cs="Times New Roman"/>
                <w:b w:val="0"/>
                <w:bCs w:val="0"/>
                <w:sz w:val="18"/>
                <w:szCs w:val="18"/>
              </w:rPr>
              <w:t>（</w:t>
            </w:r>
            <w:r>
              <w:rPr>
                <w:rFonts w:hint="default" w:ascii="Times New Roman" w:hAnsi="Times New Roman" w:eastAsia="宋体" w:cs="Times New Roman"/>
                <w:b w:val="0"/>
                <w:bCs w:val="0"/>
                <w:sz w:val="18"/>
                <w:szCs w:val="18"/>
                <w:lang w:val="en-US" w:eastAsia="zh-CN"/>
              </w:rPr>
              <w:t>1</w:t>
            </w:r>
            <w:r>
              <w:rPr>
                <w:rFonts w:hint="default" w:ascii="Times New Roman" w:hAnsi="Times New Roman" w:eastAsia="宋体" w:cs="Times New Roman"/>
                <w:b w:val="0"/>
                <w:bCs w:val="0"/>
                <w:sz w:val="18"/>
                <w:szCs w:val="18"/>
              </w:rPr>
              <w:t>8）</w:t>
            </w:r>
          </w:p>
        </w:tc>
        <w:tc>
          <w:tcPr>
            <w:tcW w:w="1048" w:type="pct"/>
            <w:vAlign w:val="center"/>
          </w:tcPr>
          <w:p w14:paraId="3AFF57D1">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i w:val="0"/>
                <w:iCs w:val="0"/>
                <w:color w:val="000000"/>
                <w:kern w:val="0"/>
                <w:sz w:val="18"/>
                <w:szCs w:val="18"/>
                <w:u w:val="none"/>
                <w:lang w:val="en-US" w:eastAsia="zh-CN" w:bidi="ar"/>
              </w:rPr>
              <w:t>26-11-12</w:t>
            </w:r>
          </w:p>
        </w:tc>
        <w:tc>
          <w:tcPr>
            <w:tcW w:w="1541" w:type="pct"/>
            <w:vAlign w:val="center"/>
          </w:tcPr>
          <w:p w14:paraId="5AD6363A">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0"/>
                <w:sz w:val="18"/>
                <w:szCs w:val="18"/>
                <w:u w:val="none"/>
                <w:lang w:val="en-US" w:eastAsia="zh-CN" w:bidi="ar"/>
              </w:rPr>
            </w:pPr>
            <w:r>
              <w:rPr>
                <w:rFonts w:hint="eastAsia" w:ascii="Times New Roman" w:hAnsi="Times New Roman" w:eastAsia="宋体" w:cs="Times New Roman"/>
                <w:b w:val="0"/>
                <w:bCs w:val="0"/>
                <w:i w:val="0"/>
                <w:iCs w:val="0"/>
                <w:color w:val="000000"/>
                <w:kern w:val="0"/>
                <w:sz w:val="18"/>
                <w:szCs w:val="18"/>
                <w:u w:val="none"/>
                <w:lang w:val="en-US" w:eastAsia="zh-CN" w:bidi="ar"/>
              </w:rPr>
              <w:t>162.38</w:t>
            </w:r>
          </w:p>
        </w:tc>
        <w:tc>
          <w:tcPr>
            <w:tcW w:w="1311" w:type="pct"/>
            <w:shd w:val="clear" w:color="auto" w:fill="auto"/>
            <w:vAlign w:val="center"/>
          </w:tcPr>
          <w:p w14:paraId="1297A10F">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0"/>
                <w:sz w:val="18"/>
                <w:szCs w:val="18"/>
                <w:u w:val="none"/>
                <w:lang w:val="en-US" w:eastAsia="zh-CN" w:bidi="ar"/>
              </w:rPr>
            </w:pPr>
            <w:r>
              <w:rPr>
                <w:rFonts w:hint="eastAsia" w:ascii="Times New Roman" w:hAnsi="Times New Roman" w:eastAsia="宋体" w:cs="Times New Roman"/>
                <w:b w:val="0"/>
                <w:bCs w:val="0"/>
                <w:i w:val="0"/>
                <w:iCs w:val="0"/>
                <w:color w:val="000000"/>
                <w:kern w:val="0"/>
                <w:sz w:val="18"/>
                <w:szCs w:val="18"/>
                <w:u w:val="none"/>
                <w:lang w:val="en-US" w:eastAsia="zh-CN" w:bidi="ar"/>
              </w:rPr>
              <w:t>11.27</w:t>
            </w:r>
          </w:p>
        </w:tc>
      </w:tr>
      <w:tr w14:paraId="3ED16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pct"/>
            <w:shd w:val="clear" w:color="auto" w:fill="auto"/>
            <w:vAlign w:val="top"/>
          </w:tcPr>
          <w:p w14:paraId="4598B1BB">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18"/>
                <w:szCs w:val="18"/>
                <w:lang w:val="en-US" w:eastAsia="zh-CN" w:bidi="ar-SA"/>
              </w:rPr>
            </w:pPr>
            <w:r>
              <w:rPr>
                <w:rFonts w:hint="default" w:ascii="Times New Roman" w:hAnsi="Times New Roman" w:eastAsia="宋体" w:cs="Times New Roman"/>
                <w:b w:val="0"/>
                <w:bCs w:val="0"/>
                <w:sz w:val="18"/>
                <w:szCs w:val="18"/>
              </w:rPr>
              <w:t>（</w:t>
            </w:r>
            <w:r>
              <w:rPr>
                <w:rFonts w:hint="default" w:ascii="Times New Roman" w:hAnsi="Times New Roman" w:eastAsia="宋体" w:cs="Times New Roman"/>
                <w:b w:val="0"/>
                <w:bCs w:val="0"/>
                <w:sz w:val="18"/>
                <w:szCs w:val="18"/>
                <w:lang w:val="en-US" w:eastAsia="zh-CN"/>
              </w:rPr>
              <w:t>20</w:t>
            </w:r>
            <w:r>
              <w:rPr>
                <w:rFonts w:hint="default" w:ascii="Times New Roman" w:hAnsi="Times New Roman" w:eastAsia="宋体" w:cs="Times New Roman"/>
                <w:b w:val="0"/>
                <w:bCs w:val="0"/>
                <w:sz w:val="18"/>
                <w:szCs w:val="18"/>
              </w:rPr>
              <w:t>）</w:t>
            </w:r>
          </w:p>
        </w:tc>
        <w:tc>
          <w:tcPr>
            <w:tcW w:w="1048" w:type="pct"/>
            <w:vAlign w:val="center"/>
          </w:tcPr>
          <w:p w14:paraId="35CB0C08">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i w:val="0"/>
                <w:iCs w:val="0"/>
                <w:color w:val="000000"/>
                <w:kern w:val="0"/>
                <w:sz w:val="18"/>
                <w:szCs w:val="18"/>
                <w:u w:val="none"/>
                <w:lang w:val="en-US" w:eastAsia="zh-CN" w:bidi="ar"/>
              </w:rPr>
              <w:t>15-15-15</w:t>
            </w:r>
          </w:p>
        </w:tc>
        <w:tc>
          <w:tcPr>
            <w:tcW w:w="1541" w:type="pct"/>
            <w:vAlign w:val="center"/>
          </w:tcPr>
          <w:p w14:paraId="4F40E725">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B0F0"/>
                <w:kern w:val="0"/>
                <w:sz w:val="18"/>
                <w:szCs w:val="18"/>
                <w:u w:val="none"/>
                <w:lang w:val="en-US" w:eastAsia="zh-CN" w:bidi="ar"/>
              </w:rPr>
            </w:pPr>
            <w:r>
              <w:rPr>
                <w:rFonts w:hint="eastAsia" w:ascii="Times New Roman" w:hAnsi="Times New Roman" w:eastAsia="宋体" w:cs="Times New Roman"/>
                <w:b w:val="0"/>
                <w:bCs w:val="0"/>
                <w:i w:val="0"/>
                <w:iCs w:val="0"/>
                <w:color w:val="00B0F0"/>
                <w:kern w:val="0"/>
                <w:sz w:val="18"/>
                <w:szCs w:val="18"/>
                <w:u w:val="none"/>
                <w:lang w:val="en-US" w:eastAsia="zh-CN" w:bidi="ar"/>
              </w:rPr>
              <w:t>-35.93</w:t>
            </w:r>
          </w:p>
        </w:tc>
        <w:tc>
          <w:tcPr>
            <w:tcW w:w="1311" w:type="pct"/>
            <w:shd w:val="clear" w:color="auto" w:fill="auto"/>
            <w:vAlign w:val="center"/>
          </w:tcPr>
          <w:p w14:paraId="7026F2F0">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B0F0"/>
                <w:kern w:val="0"/>
                <w:sz w:val="18"/>
                <w:szCs w:val="18"/>
                <w:u w:val="none"/>
                <w:lang w:val="en-US" w:eastAsia="zh-CN" w:bidi="ar"/>
              </w:rPr>
            </w:pPr>
            <w:r>
              <w:rPr>
                <w:rFonts w:hint="eastAsia" w:ascii="Times New Roman" w:hAnsi="Times New Roman" w:eastAsia="宋体" w:cs="Times New Roman"/>
                <w:b w:val="0"/>
                <w:bCs w:val="0"/>
                <w:i w:val="0"/>
                <w:iCs w:val="0"/>
                <w:color w:val="00B0F0"/>
                <w:kern w:val="0"/>
                <w:sz w:val="18"/>
                <w:szCs w:val="18"/>
                <w:u w:val="none"/>
                <w:lang w:val="en-US" w:eastAsia="zh-CN" w:bidi="ar"/>
              </w:rPr>
              <w:t>-3.80</w:t>
            </w:r>
          </w:p>
        </w:tc>
      </w:tr>
      <w:tr w14:paraId="4C621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pct"/>
            <w:shd w:val="clear" w:color="auto" w:fill="auto"/>
            <w:vAlign w:val="top"/>
          </w:tcPr>
          <w:p w14:paraId="27BFF392">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18"/>
                <w:szCs w:val="18"/>
                <w:lang w:val="en-US" w:eastAsia="zh-CN" w:bidi="ar-SA"/>
              </w:rPr>
            </w:pPr>
            <w:r>
              <w:rPr>
                <w:rFonts w:hint="default" w:ascii="Times New Roman" w:hAnsi="Times New Roman" w:eastAsia="宋体" w:cs="Times New Roman"/>
                <w:b w:val="0"/>
                <w:bCs w:val="0"/>
                <w:sz w:val="18"/>
                <w:szCs w:val="18"/>
              </w:rPr>
              <w:t>（</w:t>
            </w:r>
            <w:r>
              <w:rPr>
                <w:rFonts w:hint="default" w:ascii="Times New Roman" w:hAnsi="Times New Roman" w:eastAsia="宋体" w:cs="Times New Roman"/>
                <w:b w:val="0"/>
                <w:bCs w:val="0"/>
                <w:sz w:val="18"/>
                <w:szCs w:val="18"/>
                <w:lang w:val="en-US" w:eastAsia="zh-CN"/>
              </w:rPr>
              <w:t>21</w:t>
            </w:r>
            <w:r>
              <w:rPr>
                <w:rFonts w:hint="default" w:ascii="Times New Roman" w:hAnsi="Times New Roman" w:eastAsia="宋体" w:cs="Times New Roman"/>
                <w:b w:val="0"/>
                <w:bCs w:val="0"/>
                <w:sz w:val="18"/>
                <w:szCs w:val="18"/>
              </w:rPr>
              <w:t>）</w:t>
            </w:r>
          </w:p>
        </w:tc>
        <w:tc>
          <w:tcPr>
            <w:tcW w:w="1048" w:type="pct"/>
            <w:vAlign w:val="center"/>
          </w:tcPr>
          <w:p w14:paraId="0DBD9B3A">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i w:val="0"/>
                <w:iCs w:val="0"/>
                <w:color w:val="000000"/>
                <w:kern w:val="0"/>
                <w:sz w:val="18"/>
                <w:szCs w:val="18"/>
                <w:u w:val="none"/>
                <w:lang w:val="en-US" w:eastAsia="zh-CN" w:bidi="ar"/>
              </w:rPr>
              <w:t>26-11-11</w:t>
            </w:r>
          </w:p>
        </w:tc>
        <w:tc>
          <w:tcPr>
            <w:tcW w:w="1541" w:type="pct"/>
            <w:vAlign w:val="center"/>
          </w:tcPr>
          <w:p w14:paraId="171FFD9C">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eastAsia" w:ascii="Times New Roman" w:hAnsi="Times New Roman" w:eastAsia="宋体" w:cs="Times New Roman"/>
                <w:b w:val="0"/>
                <w:bCs w:val="0"/>
                <w:i w:val="0"/>
                <w:iCs w:val="0"/>
                <w:color w:val="auto"/>
                <w:kern w:val="0"/>
                <w:sz w:val="18"/>
                <w:szCs w:val="18"/>
                <w:u w:val="none"/>
                <w:lang w:val="en-US" w:eastAsia="zh-CN" w:bidi="ar"/>
              </w:rPr>
              <w:t>80.54</w:t>
            </w:r>
          </w:p>
        </w:tc>
        <w:tc>
          <w:tcPr>
            <w:tcW w:w="1311" w:type="pct"/>
            <w:shd w:val="clear" w:color="auto" w:fill="auto"/>
            <w:vAlign w:val="center"/>
          </w:tcPr>
          <w:p w14:paraId="07E33D4A">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eastAsia" w:ascii="Times New Roman" w:hAnsi="Times New Roman" w:eastAsia="宋体" w:cs="Times New Roman"/>
                <w:b w:val="0"/>
                <w:bCs w:val="0"/>
                <w:i w:val="0"/>
                <w:iCs w:val="0"/>
                <w:color w:val="auto"/>
                <w:kern w:val="0"/>
                <w:sz w:val="18"/>
                <w:szCs w:val="18"/>
                <w:u w:val="none"/>
                <w:lang w:val="en-US" w:eastAsia="zh-CN" w:bidi="ar"/>
              </w:rPr>
              <w:t>28.39</w:t>
            </w:r>
          </w:p>
        </w:tc>
      </w:tr>
      <w:tr w14:paraId="266FB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pct"/>
            <w:shd w:val="clear" w:color="auto" w:fill="auto"/>
            <w:vAlign w:val="top"/>
          </w:tcPr>
          <w:p w14:paraId="4E7DAE5A">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18"/>
                <w:szCs w:val="18"/>
                <w:lang w:val="en-US" w:eastAsia="zh-CN" w:bidi="ar-SA"/>
              </w:rPr>
            </w:pPr>
            <w:r>
              <w:rPr>
                <w:rFonts w:hint="default" w:ascii="Times New Roman" w:hAnsi="Times New Roman" w:eastAsia="宋体" w:cs="Times New Roman"/>
                <w:b w:val="0"/>
                <w:bCs w:val="0"/>
                <w:sz w:val="18"/>
                <w:szCs w:val="18"/>
              </w:rPr>
              <w:t>（</w:t>
            </w:r>
            <w:r>
              <w:rPr>
                <w:rFonts w:hint="default" w:ascii="Times New Roman" w:hAnsi="Times New Roman" w:eastAsia="宋体" w:cs="Times New Roman"/>
                <w:b w:val="0"/>
                <w:bCs w:val="0"/>
                <w:sz w:val="18"/>
                <w:szCs w:val="18"/>
                <w:lang w:val="en-US" w:eastAsia="zh-CN"/>
              </w:rPr>
              <w:t>22</w:t>
            </w:r>
            <w:r>
              <w:rPr>
                <w:rFonts w:hint="default" w:ascii="Times New Roman" w:hAnsi="Times New Roman" w:eastAsia="宋体" w:cs="Times New Roman"/>
                <w:b w:val="0"/>
                <w:bCs w:val="0"/>
                <w:sz w:val="18"/>
                <w:szCs w:val="18"/>
              </w:rPr>
              <w:t>）</w:t>
            </w:r>
          </w:p>
        </w:tc>
        <w:tc>
          <w:tcPr>
            <w:tcW w:w="1048" w:type="pct"/>
            <w:vAlign w:val="center"/>
          </w:tcPr>
          <w:p w14:paraId="706D99C6">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i w:val="0"/>
                <w:iCs w:val="0"/>
                <w:color w:val="000000"/>
                <w:kern w:val="0"/>
                <w:sz w:val="18"/>
                <w:szCs w:val="18"/>
                <w:u w:val="none"/>
                <w:lang w:val="en-US" w:eastAsia="zh-CN" w:bidi="ar"/>
              </w:rPr>
              <w:t>16-16-16</w:t>
            </w:r>
          </w:p>
        </w:tc>
        <w:tc>
          <w:tcPr>
            <w:tcW w:w="1541" w:type="pct"/>
            <w:vAlign w:val="center"/>
          </w:tcPr>
          <w:p w14:paraId="20694046">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color w:val="auto"/>
                <w:sz w:val="18"/>
                <w:szCs w:val="18"/>
                <w:lang w:val="en-US" w:eastAsia="zh-CN"/>
              </w:rPr>
            </w:pPr>
            <w:r>
              <w:rPr>
                <w:rFonts w:hint="eastAsia" w:ascii="Times New Roman" w:hAnsi="Times New Roman" w:eastAsia="宋体" w:cs="Times New Roman"/>
                <w:b w:val="0"/>
                <w:bCs w:val="0"/>
                <w:color w:val="auto"/>
                <w:sz w:val="18"/>
                <w:szCs w:val="18"/>
                <w:lang w:val="en-US" w:eastAsia="zh-CN"/>
              </w:rPr>
              <w:t>104.45</w:t>
            </w:r>
          </w:p>
        </w:tc>
        <w:tc>
          <w:tcPr>
            <w:tcW w:w="1311" w:type="pct"/>
            <w:shd w:val="clear" w:color="auto" w:fill="auto"/>
            <w:vAlign w:val="center"/>
          </w:tcPr>
          <w:p w14:paraId="46AEFAC2">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color w:val="auto"/>
                <w:kern w:val="2"/>
                <w:sz w:val="18"/>
                <w:szCs w:val="18"/>
                <w:lang w:val="en-US" w:eastAsia="zh-CN" w:bidi="ar-SA"/>
              </w:rPr>
            </w:pPr>
            <w:r>
              <w:rPr>
                <w:rFonts w:hint="eastAsia" w:ascii="Times New Roman" w:hAnsi="Times New Roman" w:eastAsia="宋体" w:cs="Times New Roman"/>
                <w:b w:val="0"/>
                <w:bCs w:val="0"/>
                <w:color w:val="auto"/>
                <w:kern w:val="2"/>
                <w:sz w:val="18"/>
                <w:szCs w:val="18"/>
                <w:lang w:val="en-US" w:eastAsia="zh-CN" w:bidi="ar-SA"/>
              </w:rPr>
              <w:t>-11.39</w:t>
            </w:r>
          </w:p>
        </w:tc>
      </w:tr>
      <w:tr w14:paraId="39FC0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pct"/>
            <w:shd w:val="clear" w:color="auto" w:fill="auto"/>
            <w:vAlign w:val="top"/>
          </w:tcPr>
          <w:p w14:paraId="1646CA35">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18"/>
                <w:szCs w:val="18"/>
                <w:lang w:val="en-US" w:eastAsia="zh-CN" w:bidi="ar-SA"/>
              </w:rPr>
            </w:pPr>
            <w:r>
              <w:rPr>
                <w:rFonts w:hint="default" w:ascii="Times New Roman" w:hAnsi="Times New Roman" w:eastAsia="宋体" w:cs="Times New Roman"/>
                <w:b w:val="0"/>
                <w:bCs w:val="0"/>
                <w:sz w:val="18"/>
                <w:szCs w:val="18"/>
              </w:rPr>
              <w:t>（</w:t>
            </w:r>
            <w:r>
              <w:rPr>
                <w:rFonts w:hint="default" w:ascii="Times New Roman" w:hAnsi="Times New Roman" w:eastAsia="宋体" w:cs="Times New Roman"/>
                <w:b w:val="0"/>
                <w:bCs w:val="0"/>
                <w:sz w:val="18"/>
                <w:szCs w:val="18"/>
                <w:lang w:val="en-US" w:eastAsia="zh-CN"/>
              </w:rPr>
              <w:t>2</w:t>
            </w:r>
            <w:r>
              <w:rPr>
                <w:rFonts w:hint="default" w:ascii="Times New Roman" w:hAnsi="Times New Roman" w:eastAsia="宋体" w:cs="Times New Roman"/>
                <w:b w:val="0"/>
                <w:bCs w:val="0"/>
                <w:sz w:val="18"/>
                <w:szCs w:val="18"/>
              </w:rPr>
              <w:t>3）</w:t>
            </w:r>
          </w:p>
        </w:tc>
        <w:tc>
          <w:tcPr>
            <w:tcW w:w="1048" w:type="pct"/>
            <w:vAlign w:val="center"/>
          </w:tcPr>
          <w:p w14:paraId="19EFF1C4">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i w:val="0"/>
                <w:iCs w:val="0"/>
                <w:color w:val="000000"/>
                <w:kern w:val="0"/>
                <w:sz w:val="18"/>
                <w:szCs w:val="18"/>
                <w:u w:val="none"/>
                <w:lang w:val="en-US" w:eastAsia="zh-CN" w:bidi="ar"/>
              </w:rPr>
              <w:t>14-8-23</w:t>
            </w:r>
          </w:p>
        </w:tc>
        <w:tc>
          <w:tcPr>
            <w:tcW w:w="1541" w:type="pct"/>
            <w:vAlign w:val="center"/>
          </w:tcPr>
          <w:p w14:paraId="2FF79DB5">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color w:val="auto"/>
                <w:sz w:val="18"/>
                <w:szCs w:val="18"/>
                <w:lang w:val="en-US" w:eastAsia="zh-CN"/>
              </w:rPr>
            </w:pPr>
            <w:r>
              <w:rPr>
                <w:rFonts w:hint="eastAsia" w:ascii="Times New Roman" w:hAnsi="Times New Roman" w:eastAsia="宋体" w:cs="Times New Roman"/>
                <w:b w:val="0"/>
                <w:bCs w:val="0"/>
                <w:color w:val="auto"/>
                <w:sz w:val="18"/>
                <w:szCs w:val="18"/>
                <w:lang w:val="en-US" w:eastAsia="zh-CN"/>
              </w:rPr>
              <w:t>84.85</w:t>
            </w:r>
          </w:p>
        </w:tc>
        <w:tc>
          <w:tcPr>
            <w:tcW w:w="1311" w:type="pct"/>
            <w:shd w:val="clear" w:color="auto" w:fill="auto"/>
            <w:vAlign w:val="center"/>
          </w:tcPr>
          <w:p w14:paraId="4279F778">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color w:val="auto"/>
                <w:kern w:val="2"/>
                <w:sz w:val="18"/>
                <w:szCs w:val="18"/>
                <w:lang w:val="en-US" w:eastAsia="zh-CN" w:bidi="ar-SA"/>
              </w:rPr>
            </w:pPr>
            <w:r>
              <w:rPr>
                <w:rFonts w:hint="eastAsia" w:ascii="Times New Roman" w:hAnsi="Times New Roman" w:eastAsia="宋体" w:cs="Times New Roman"/>
                <w:b w:val="0"/>
                <w:bCs w:val="0"/>
                <w:color w:val="auto"/>
                <w:kern w:val="2"/>
                <w:sz w:val="18"/>
                <w:szCs w:val="18"/>
                <w:lang w:val="en-US" w:eastAsia="zh-CN" w:bidi="ar-SA"/>
              </w:rPr>
              <w:t>-</w:t>
            </w:r>
            <w:r>
              <w:rPr>
                <w:rFonts w:hint="eastAsia" w:ascii="Times New Roman" w:hAnsi="Times New Roman" w:eastAsia="宋体" w:cs="Times New Roman"/>
                <w:b w:val="0"/>
                <w:bCs w:val="0"/>
                <w:i w:val="0"/>
                <w:iCs w:val="0"/>
                <w:color w:val="auto"/>
                <w:kern w:val="0"/>
                <w:sz w:val="18"/>
                <w:szCs w:val="18"/>
                <w:u w:val="none"/>
                <w:lang w:val="en-US" w:eastAsia="zh-CN" w:bidi="ar"/>
              </w:rPr>
              <w:t>2.39</w:t>
            </w:r>
          </w:p>
        </w:tc>
      </w:tr>
      <w:tr w14:paraId="433B6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pct"/>
            <w:shd w:val="clear" w:color="auto" w:fill="auto"/>
            <w:vAlign w:val="top"/>
          </w:tcPr>
          <w:p w14:paraId="471942CA">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18"/>
                <w:szCs w:val="18"/>
                <w:lang w:val="en-US" w:eastAsia="zh-CN" w:bidi="ar-SA"/>
              </w:rPr>
            </w:pPr>
            <w:r>
              <w:rPr>
                <w:rFonts w:hint="default" w:ascii="Times New Roman" w:hAnsi="Times New Roman" w:eastAsia="宋体" w:cs="Times New Roman"/>
                <w:b w:val="0"/>
                <w:bCs w:val="0"/>
                <w:sz w:val="18"/>
                <w:szCs w:val="18"/>
              </w:rPr>
              <w:t>（</w:t>
            </w:r>
            <w:r>
              <w:rPr>
                <w:rFonts w:hint="default" w:ascii="Times New Roman" w:hAnsi="Times New Roman" w:eastAsia="宋体" w:cs="Times New Roman"/>
                <w:b w:val="0"/>
                <w:bCs w:val="0"/>
                <w:sz w:val="18"/>
                <w:szCs w:val="18"/>
                <w:lang w:val="en-US" w:eastAsia="zh-CN"/>
              </w:rPr>
              <w:t>24</w:t>
            </w:r>
            <w:r>
              <w:rPr>
                <w:rFonts w:hint="default" w:ascii="Times New Roman" w:hAnsi="Times New Roman" w:eastAsia="宋体" w:cs="Times New Roman"/>
                <w:b w:val="0"/>
                <w:bCs w:val="0"/>
                <w:sz w:val="18"/>
                <w:szCs w:val="18"/>
              </w:rPr>
              <w:t>）</w:t>
            </w:r>
          </w:p>
        </w:tc>
        <w:tc>
          <w:tcPr>
            <w:tcW w:w="1048" w:type="pct"/>
            <w:vAlign w:val="center"/>
          </w:tcPr>
          <w:p w14:paraId="2E64EE2C">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color w:val="auto"/>
                <w:sz w:val="18"/>
                <w:szCs w:val="18"/>
                <w:highlight w:val="none"/>
              </w:rPr>
            </w:pPr>
            <w:r>
              <w:rPr>
                <w:rFonts w:hint="default" w:ascii="Times New Roman" w:hAnsi="Times New Roman" w:eastAsia="宋体" w:cs="Times New Roman"/>
                <w:b w:val="0"/>
                <w:bCs w:val="0"/>
                <w:i w:val="0"/>
                <w:iCs w:val="0"/>
                <w:color w:val="auto"/>
                <w:kern w:val="0"/>
                <w:sz w:val="18"/>
                <w:szCs w:val="18"/>
                <w:highlight w:val="none"/>
                <w:u w:val="none"/>
                <w:lang w:val="en-US" w:eastAsia="zh-CN" w:bidi="ar"/>
              </w:rPr>
              <w:t>15-15-23</w:t>
            </w:r>
          </w:p>
        </w:tc>
        <w:tc>
          <w:tcPr>
            <w:tcW w:w="1541" w:type="pct"/>
            <w:vAlign w:val="center"/>
          </w:tcPr>
          <w:p w14:paraId="665CAAAA">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eastAsia" w:ascii="Times New Roman" w:hAnsi="Times New Roman" w:eastAsia="宋体" w:cs="Times New Roman"/>
                <w:b w:val="0"/>
                <w:bCs w:val="0"/>
                <w:i w:val="0"/>
                <w:iCs w:val="0"/>
                <w:color w:val="auto"/>
                <w:kern w:val="0"/>
                <w:sz w:val="18"/>
                <w:szCs w:val="18"/>
                <w:highlight w:val="none"/>
                <w:u w:val="none"/>
                <w:lang w:val="en-US" w:eastAsia="zh-CN" w:bidi="ar"/>
              </w:rPr>
              <w:t>66.67</w:t>
            </w:r>
          </w:p>
        </w:tc>
        <w:tc>
          <w:tcPr>
            <w:tcW w:w="1311" w:type="pct"/>
            <w:shd w:val="clear" w:color="auto" w:fill="auto"/>
            <w:vAlign w:val="center"/>
          </w:tcPr>
          <w:p w14:paraId="3A06611F">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eastAsia" w:ascii="Times New Roman" w:hAnsi="Times New Roman" w:eastAsia="宋体" w:cs="Times New Roman"/>
                <w:b w:val="0"/>
                <w:bCs w:val="0"/>
                <w:i w:val="0"/>
                <w:iCs w:val="0"/>
                <w:color w:val="auto"/>
                <w:kern w:val="0"/>
                <w:sz w:val="18"/>
                <w:szCs w:val="18"/>
                <w:u w:val="none"/>
                <w:lang w:val="en-US" w:eastAsia="zh-CN" w:bidi="ar"/>
              </w:rPr>
              <w:t>5.17</w:t>
            </w:r>
          </w:p>
        </w:tc>
      </w:tr>
      <w:tr w14:paraId="1F4E4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pct"/>
            <w:shd w:val="clear" w:color="auto" w:fill="auto"/>
            <w:vAlign w:val="top"/>
          </w:tcPr>
          <w:p w14:paraId="754C5606">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18"/>
                <w:szCs w:val="18"/>
                <w:lang w:val="en-US" w:eastAsia="zh-CN" w:bidi="ar-SA"/>
              </w:rPr>
            </w:pPr>
            <w:r>
              <w:rPr>
                <w:rFonts w:hint="default" w:ascii="Times New Roman" w:hAnsi="Times New Roman" w:eastAsia="宋体" w:cs="Times New Roman"/>
                <w:b w:val="0"/>
                <w:bCs w:val="0"/>
                <w:sz w:val="18"/>
                <w:szCs w:val="18"/>
              </w:rPr>
              <w:t>（</w:t>
            </w:r>
            <w:r>
              <w:rPr>
                <w:rFonts w:hint="default" w:ascii="Times New Roman" w:hAnsi="Times New Roman" w:eastAsia="宋体" w:cs="Times New Roman"/>
                <w:b w:val="0"/>
                <w:bCs w:val="0"/>
                <w:sz w:val="18"/>
                <w:szCs w:val="18"/>
                <w:lang w:val="en-US" w:eastAsia="zh-CN"/>
              </w:rPr>
              <w:t>2</w:t>
            </w:r>
            <w:r>
              <w:rPr>
                <w:rFonts w:hint="default" w:ascii="Times New Roman" w:hAnsi="Times New Roman" w:eastAsia="宋体" w:cs="Times New Roman"/>
                <w:b w:val="0"/>
                <w:bCs w:val="0"/>
                <w:sz w:val="18"/>
                <w:szCs w:val="18"/>
              </w:rPr>
              <w:t>6）</w:t>
            </w:r>
          </w:p>
        </w:tc>
        <w:tc>
          <w:tcPr>
            <w:tcW w:w="1048" w:type="pct"/>
            <w:vAlign w:val="center"/>
          </w:tcPr>
          <w:p w14:paraId="73C8B894">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color w:val="auto"/>
                <w:sz w:val="18"/>
                <w:szCs w:val="18"/>
              </w:rPr>
            </w:pPr>
            <w:r>
              <w:rPr>
                <w:rFonts w:hint="default" w:ascii="Times New Roman" w:hAnsi="Times New Roman" w:eastAsia="宋体" w:cs="Times New Roman"/>
                <w:b w:val="0"/>
                <w:bCs w:val="0"/>
                <w:i w:val="0"/>
                <w:iCs w:val="0"/>
                <w:color w:val="auto"/>
                <w:kern w:val="0"/>
                <w:sz w:val="18"/>
                <w:szCs w:val="18"/>
                <w:u w:val="none"/>
                <w:lang w:val="en-US" w:eastAsia="zh-CN" w:bidi="ar"/>
              </w:rPr>
              <w:t>复合肥</w:t>
            </w:r>
          </w:p>
        </w:tc>
        <w:tc>
          <w:tcPr>
            <w:tcW w:w="1541" w:type="pct"/>
            <w:shd w:val="clear" w:color="auto" w:fill="auto"/>
            <w:vAlign w:val="center"/>
          </w:tcPr>
          <w:p w14:paraId="3AD1445C">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color w:val="auto"/>
                <w:kern w:val="2"/>
                <w:sz w:val="18"/>
                <w:szCs w:val="18"/>
                <w:lang w:val="en-US" w:eastAsia="zh-CN" w:bidi="ar-SA"/>
              </w:rPr>
            </w:pPr>
            <w:r>
              <w:rPr>
                <w:rFonts w:hint="eastAsia" w:ascii="Times New Roman" w:hAnsi="Times New Roman" w:eastAsia="宋体" w:cs="Times New Roman"/>
                <w:b w:val="0"/>
                <w:bCs w:val="0"/>
                <w:color w:val="auto"/>
                <w:sz w:val="18"/>
                <w:szCs w:val="18"/>
                <w:lang w:val="en-US" w:eastAsia="zh-CN"/>
              </w:rPr>
              <w:t>186.66</w:t>
            </w:r>
          </w:p>
        </w:tc>
        <w:tc>
          <w:tcPr>
            <w:tcW w:w="1311" w:type="pct"/>
            <w:shd w:val="clear" w:color="auto" w:fill="auto"/>
            <w:vAlign w:val="center"/>
          </w:tcPr>
          <w:p w14:paraId="2C753F15">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color w:val="auto"/>
                <w:kern w:val="2"/>
                <w:sz w:val="18"/>
                <w:szCs w:val="18"/>
                <w:lang w:val="en-US" w:eastAsia="zh-CN" w:bidi="ar-SA"/>
              </w:rPr>
            </w:pPr>
            <w:r>
              <w:rPr>
                <w:rFonts w:hint="eastAsia" w:ascii="Times New Roman" w:hAnsi="Times New Roman" w:eastAsia="宋体" w:cs="Times New Roman"/>
                <w:b w:val="0"/>
                <w:bCs w:val="0"/>
                <w:color w:val="auto"/>
                <w:kern w:val="2"/>
                <w:sz w:val="18"/>
                <w:szCs w:val="18"/>
                <w:lang w:val="en-US" w:eastAsia="zh-CN" w:bidi="ar-SA"/>
              </w:rPr>
              <w:t>-4.67</w:t>
            </w:r>
          </w:p>
        </w:tc>
      </w:tr>
      <w:tr w14:paraId="6864C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pct"/>
            <w:shd w:val="clear" w:color="auto" w:fill="auto"/>
            <w:vAlign w:val="top"/>
          </w:tcPr>
          <w:p w14:paraId="5E8579CE">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18"/>
                <w:szCs w:val="18"/>
                <w:lang w:val="en-US" w:eastAsia="zh-CN" w:bidi="ar-SA"/>
              </w:rPr>
            </w:pPr>
            <w:r>
              <w:rPr>
                <w:rFonts w:hint="default" w:ascii="Times New Roman" w:hAnsi="Times New Roman" w:eastAsia="宋体" w:cs="Times New Roman"/>
                <w:b w:val="0"/>
                <w:bCs w:val="0"/>
                <w:sz w:val="18"/>
                <w:szCs w:val="18"/>
              </w:rPr>
              <w:t>（</w:t>
            </w:r>
            <w:r>
              <w:rPr>
                <w:rFonts w:hint="default" w:ascii="Times New Roman" w:hAnsi="Times New Roman" w:eastAsia="宋体" w:cs="Times New Roman"/>
                <w:b w:val="0"/>
                <w:bCs w:val="0"/>
                <w:sz w:val="18"/>
                <w:szCs w:val="18"/>
                <w:lang w:val="en-US" w:eastAsia="zh-CN"/>
              </w:rPr>
              <w:t>29</w:t>
            </w:r>
            <w:r>
              <w:rPr>
                <w:rFonts w:hint="default" w:ascii="Times New Roman" w:hAnsi="Times New Roman" w:eastAsia="宋体" w:cs="Times New Roman"/>
                <w:b w:val="0"/>
                <w:bCs w:val="0"/>
                <w:sz w:val="18"/>
                <w:szCs w:val="18"/>
              </w:rPr>
              <w:t>）</w:t>
            </w:r>
          </w:p>
        </w:tc>
        <w:tc>
          <w:tcPr>
            <w:tcW w:w="1048" w:type="pct"/>
            <w:vAlign w:val="center"/>
          </w:tcPr>
          <w:p w14:paraId="56785422">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i w:val="0"/>
                <w:iCs w:val="0"/>
                <w:color w:val="000000"/>
                <w:kern w:val="0"/>
                <w:sz w:val="18"/>
                <w:szCs w:val="18"/>
                <w:u w:val="none"/>
                <w:lang w:val="en-US" w:eastAsia="zh-CN" w:bidi="ar"/>
              </w:rPr>
              <w:t>22-8-10</w:t>
            </w:r>
          </w:p>
        </w:tc>
        <w:tc>
          <w:tcPr>
            <w:tcW w:w="1541" w:type="pct"/>
            <w:vAlign w:val="center"/>
          </w:tcPr>
          <w:p w14:paraId="4370D65A">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lang w:val="en-US" w:eastAsia="zh-CN"/>
              </w:rPr>
            </w:pPr>
            <w:r>
              <w:rPr>
                <w:rFonts w:hint="eastAsia" w:ascii="Times New Roman" w:hAnsi="Times New Roman" w:eastAsia="宋体" w:cs="Times New Roman"/>
                <w:b w:val="0"/>
                <w:bCs w:val="0"/>
                <w:sz w:val="18"/>
                <w:szCs w:val="18"/>
                <w:lang w:val="en-US" w:eastAsia="zh-CN"/>
              </w:rPr>
              <w:t>34.00</w:t>
            </w:r>
          </w:p>
        </w:tc>
        <w:tc>
          <w:tcPr>
            <w:tcW w:w="1311" w:type="pct"/>
            <w:shd w:val="clear" w:color="auto" w:fill="auto"/>
            <w:vAlign w:val="center"/>
          </w:tcPr>
          <w:p w14:paraId="1A90184D">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kern w:val="2"/>
                <w:sz w:val="18"/>
                <w:szCs w:val="18"/>
                <w:lang w:val="en-US" w:eastAsia="zh-CN" w:bidi="ar-SA"/>
              </w:rPr>
            </w:pPr>
            <w:r>
              <w:rPr>
                <w:rFonts w:hint="eastAsia" w:ascii="Times New Roman" w:hAnsi="Times New Roman" w:eastAsia="宋体" w:cs="Times New Roman"/>
                <w:b w:val="0"/>
                <w:bCs w:val="0"/>
                <w:kern w:val="2"/>
                <w:sz w:val="18"/>
                <w:szCs w:val="18"/>
                <w:lang w:val="en-US" w:eastAsia="zh-CN" w:bidi="ar-SA"/>
              </w:rPr>
              <w:t>3.15</w:t>
            </w:r>
          </w:p>
        </w:tc>
      </w:tr>
      <w:tr w14:paraId="6F55B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pct"/>
            <w:shd w:val="clear" w:color="auto" w:fill="auto"/>
            <w:vAlign w:val="top"/>
          </w:tcPr>
          <w:p w14:paraId="05157B5B">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18"/>
                <w:szCs w:val="18"/>
                <w:lang w:val="en-US" w:eastAsia="zh-CN" w:bidi="ar-SA"/>
              </w:rPr>
            </w:pPr>
            <w:r>
              <w:rPr>
                <w:rFonts w:hint="default" w:ascii="Times New Roman" w:hAnsi="Times New Roman" w:eastAsia="宋体" w:cs="Times New Roman"/>
                <w:b w:val="0"/>
                <w:bCs w:val="0"/>
                <w:sz w:val="18"/>
                <w:szCs w:val="18"/>
              </w:rPr>
              <w:t>（</w:t>
            </w:r>
            <w:r>
              <w:rPr>
                <w:rFonts w:hint="default" w:ascii="Times New Roman" w:hAnsi="Times New Roman" w:eastAsia="宋体" w:cs="Times New Roman"/>
                <w:b w:val="0"/>
                <w:bCs w:val="0"/>
                <w:sz w:val="18"/>
                <w:szCs w:val="18"/>
                <w:lang w:val="en-US" w:eastAsia="zh-CN"/>
              </w:rPr>
              <w:t>31</w:t>
            </w:r>
            <w:r>
              <w:rPr>
                <w:rFonts w:hint="default" w:ascii="Times New Roman" w:hAnsi="Times New Roman" w:eastAsia="宋体" w:cs="Times New Roman"/>
                <w:b w:val="0"/>
                <w:bCs w:val="0"/>
                <w:sz w:val="18"/>
                <w:szCs w:val="18"/>
              </w:rPr>
              <w:t>）</w:t>
            </w:r>
          </w:p>
        </w:tc>
        <w:tc>
          <w:tcPr>
            <w:tcW w:w="1048" w:type="pct"/>
            <w:vAlign w:val="center"/>
          </w:tcPr>
          <w:p w14:paraId="7D6D70E8">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i w:val="0"/>
                <w:iCs w:val="0"/>
                <w:color w:val="000000"/>
                <w:kern w:val="0"/>
                <w:sz w:val="18"/>
                <w:szCs w:val="18"/>
                <w:u w:val="none"/>
                <w:lang w:val="en-US" w:eastAsia="zh-CN" w:bidi="ar"/>
              </w:rPr>
              <w:t>20-5-7</w:t>
            </w:r>
          </w:p>
        </w:tc>
        <w:tc>
          <w:tcPr>
            <w:tcW w:w="1541" w:type="pct"/>
            <w:vAlign w:val="center"/>
          </w:tcPr>
          <w:p w14:paraId="107F993A">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lang w:val="en-US" w:eastAsia="zh-CN"/>
              </w:rPr>
            </w:pPr>
            <w:r>
              <w:rPr>
                <w:rFonts w:hint="eastAsia" w:ascii="Times New Roman" w:hAnsi="Times New Roman" w:eastAsia="宋体" w:cs="Times New Roman"/>
                <w:b w:val="0"/>
                <w:bCs w:val="0"/>
                <w:sz w:val="18"/>
                <w:szCs w:val="18"/>
                <w:lang w:val="en-US" w:eastAsia="zh-CN"/>
              </w:rPr>
              <w:t>114.28</w:t>
            </w:r>
          </w:p>
        </w:tc>
        <w:tc>
          <w:tcPr>
            <w:tcW w:w="1311" w:type="pct"/>
            <w:shd w:val="clear" w:color="auto" w:fill="auto"/>
            <w:vAlign w:val="center"/>
          </w:tcPr>
          <w:p w14:paraId="4948F3D3">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kern w:val="2"/>
                <w:sz w:val="18"/>
                <w:szCs w:val="18"/>
                <w:lang w:val="en-US" w:eastAsia="zh-CN" w:bidi="ar-SA"/>
              </w:rPr>
            </w:pPr>
            <w:r>
              <w:rPr>
                <w:rFonts w:hint="eastAsia" w:ascii="Times New Roman" w:hAnsi="Times New Roman" w:eastAsia="宋体" w:cs="Times New Roman"/>
                <w:b w:val="0"/>
                <w:bCs w:val="0"/>
                <w:kern w:val="2"/>
                <w:sz w:val="18"/>
                <w:szCs w:val="18"/>
                <w:lang w:val="en-US" w:eastAsia="zh-CN" w:bidi="ar-SA"/>
              </w:rPr>
              <w:t>7.10</w:t>
            </w:r>
          </w:p>
        </w:tc>
      </w:tr>
      <w:tr w14:paraId="05A11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pct"/>
            <w:shd w:val="clear" w:color="auto" w:fill="auto"/>
            <w:vAlign w:val="top"/>
          </w:tcPr>
          <w:p w14:paraId="4A148476">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18"/>
                <w:szCs w:val="18"/>
                <w:lang w:val="en-US" w:eastAsia="zh-CN" w:bidi="ar-SA"/>
              </w:rPr>
            </w:pPr>
            <w:r>
              <w:rPr>
                <w:rFonts w:hint="default" w:ascii="Times New Roman" w:hAnsi="Times New Roman" w:eastAsia="宋体" w:cs="Times New Roman"/>
                <w:b w:val="0"/>
                <w:bCs w:val="0"/>
                <w:sz w:val="18"/>
                <w:szCs w:val="18"/>
              </w:rPr>
              <w:t>（</w:t>
            </w:r>
            <w:r>
              <w:rPr>
                <w:rFonts w:hint="default" w:ascii="Times New Roman" w:hAnsi="Times New Roman" w:eastAsia="宋体" w:cs="Times New Roman"/>
                <w:b w:val="0"/>
                <w:bCs w:val="0"/>
                <w:sz w:val="18"/>
                <w:szCs w:val="18"/>
                <w:lang w:val="en-US" w:eastAsia="zh-CN"/>
              </w:rPr>
              <w:t>3</w:t>
            </w:r>
            <w:r>
              <w:rPr>
                <w:rFonts w:hint="default" w:ascii="Times New Roman" w:hAnsi="Times New Roman" w:eastAsia="宋体" w:cs="Times New Roman"/>
                <w:b w:val="0"/>
                <w:bCs w:val="0"/>
                <w:sz w:val="18"/>
                <w:szCs w:val="18"/>
              </w:rPr>
              <w:t>2）</w:t>
            </w:r>
          </w:p>
        </w:tc>
        <w:tc>
          <w:tcPr>
            <w:tcW w:w="1048" w:type="pct"/>
            <w:vAlign w:val="center"/>
          </w:tcPr>
          <w:p w14:paraId="0F06D06C">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i w:val="0"/>
                <w:iCs w:val="0"/>
                <w:color w:val="000000"/>
                <w:kern w:val="0"/>
                <w:sz w:val="18"/>
                <w:szCs w:val="18"/>
                <w:u w:val="none"/>
                <w:lang w:val="en-US" w:eastAsia="zh-CN" w:bidi="ar"/>
              </w:rPr>
              <w:t>26-10-12</w:t>
            </w:r>
          </w:p>
        </w:tc>
        <w:tc>
          <w:tcPr>
            <w:tcW w:w="1541" w:type="pct"/>
            <w:vAlign w:val="center"/>
          </w:tcPr>
          <w:p w14:paraId="6B0B6E58">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lang w:val="en-US" w:eastAsia="zh-CN"/>
              </w:rPr>
            </w:pPr>
            <w:r>
              <w:rPr>
                <w:rFonts w:hint="eastAsia" w:ascii="Times New Roman" w:hAnsi="Times New Roman" w:eastAsia="宋体" w:cs="Times New Roman"/>
                <w:b w:val="0"/>
                <w:bCs w:val="0"/>
                <w:sz w:val="18"/>
                <w:szCs w:val="18"/>
                <w:lang w:val="en-US" w:eastAsia="zh-CN"/>
              </w:rPr>
              <w:t>70.20</w:t>
            </w:r>
          </w:p>
        </w:tc>
        <w:tc>
          <w:tcPr>
            <w:tcW w:w="1311" w:type="pct"/>
            <w:shd w:val="clear" w:color="auto" w:fill="auto"/>
            <w:vAlign w:val="center"/>
          </w:tcPr>
          <w:p w14:paraId="2A4C9DEC">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kern w:val="2"/>
                <w:sz w:val="18"/>
                <w:szCs w:val="18"/>
                <w:lang w:val="en-US" w:eastAsia="zh-CN" w:bidi="ar-SA"/>
              </w:rPr>
            </w:pPr>
            <w:r>
              <w:rPr>
                <w:rFonts w:hint="eastAsia" w:ascii="Times New Roman" w:hAnsi="Times New Roman" w:eastAsia="宋体" w:cs="Times New Roman"/>
                <w:b w:val="0"/>
                <w:bCs w:val="0"/>
                <w:kern w:val="2"/>
                <w:sz w:val="18"/>
                <w:szCs w:val="18"/>
                <w:lang w:val="en-US" w:eastAsia="zh-CN" w:bidi="ar-SA"/>
              </w:rPr>
              <w:t>4.68</w:t>
            </w:r>
          </w:p>
        </w:tc>
      </w:tr>
      <w:tr w14:paraId="5B75D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pct"/>
            <w:shd w:val="clear" w:color="auto" w:fill="auto"/>
            <w:vAlign w:val="top"/>
          </w:tcPr>
          <w:p w14:paraId="106A0CFD">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18"/>
                <w:szCs w:val="18"/>
                <w:lang w:val="en-US" w:eastAsia="zh-CN" w:bidi="ar-SA"/>
              </w:rPr>
            </w:pPr>
            <w:r>
              <w:rPr>
                <w:rFonts w:hint="default" w:ascii="Times New Roman" w:hAnsi="Times New Roman" w:eastAsia="宋体" w:cs="Times New Roman"/>
                <w:b w:val="0"/>
                <w:bCs w:val="0"/>
                <w:sz w:val="18"/>
                <w:szCs w:val="18"/>
              </w:rPr>
              <w:t>（</w:t>
            </w:r>
            <w:r>
              <w:rPr>
                <w:rFonts w:hint="default" w:ascii="Times New Roman" w:hAnsi="Times New Roman" w:eastAsia="宋体" w:cs="Times New Roman"/>
                <w:b w:val="0"/>
                <w:bCs w:val="0"/>
                <w:sz w:val="18"/>
                <w:szCs w:val="18"/>
                <w:lang w:val="en-US" w:eastAsia="zh-CN"/>
              </w:rPr>
              <w:t>3</w:t>
            </w:r>
            <w:r>
              <w:rPr>
                <w:rFonts w:hint="default" w:ascii="Times New Roman" w:hAnsi="Times New Roman" w:eastAsia="宋体" w:cs="Times New Roman"/>
                <w:b w:val="0"/>
                <w:bCs w:val="0"/>
                <w:sz w:val="18"/>
                <w:szCs w:val="18"/>
              </w:rPr>
              <w:t>4）</w:t>
            </w:r>
          </w:p>
        </w:tc>
        <w:tc>
          <w:tcPr>
            <w:tcW w:w="1048" w:type="pct"/>
            <w:vAlign w:val="center"/>
          </w:tcPr>
          <w:p w14:paraId="084502AF">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i w:val="0"/>
                <w:iCs w:val="0"/>
                <w:color w:val="000000"/>
                <w:kern w:val="0"/>
                <w:sz w:val="18"/>
                <w:szCs w:val="18"/>
                <w:u w:val="none"/>
                <w:lang w:val="en-US" w:eastAsia="zh-CN" w:bidi="ar"/>
              </w:rPr>
              <w:t>26-10-12</w:t>
            </w:r>
          </w:p>
        </w:tc>
        <w:tc>
          <w:tcPr>
            <w:tcW w:w="1541" w:type="pct"/>
            <w:shd w:val="clear" w:color="auto" w:fill="auto"/>
            <w:vAlign w:val="center"/>
          </w:tcPr>
          <w:p w14:paraId="290134EF">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kern w:val="2"/>
                <w:sz w:val="18"/>
                <w:szCs w:val="18"/>
                <w:lang w:val="en-US" w:eastAsia="zh-CN" w:bidi="ar-SA"/>
              </w:rPr>
            </w:pPr>
            <w:r>
              <w:rPr>
                <w:rFonts w:hint="eastAsia" w:ascii="Times New Roman" w:hAnsi="Times New Roman" w:eastAsia="宋体" w:cs="Times New Roman"/>
                <w:b w:val="0"/>
                <w:bCs w:val="0"/>
                <w:sz w:val="18"/>
                <w:szCs w:val="18"/>
                <w:lang w:val="en-US" w:eastAsia="zh-CN"/>
              </w:rPr>
              <w:t>21.28</w:t>
            </w:r>
          </w:p>
        </w:tc>
        <w:tc>
          <w:tcPr>
            <w:tcW w:w="1311" w:type="pct"/>
            <w:shd w:val="clear" w:color="auto" w:fill="auto"/>
            <w:vAlign w:val="center"/>
          </w:tcPr>
          <w:p w14:paraId="600038D3">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kern w:val="2"/>
                <w:sz w:val="18"/>
                <w:szCs w:val="18"/>
                <w:lang w:val="en-US" w:eastAsia="zh-CN" w:bidi="ar-SA"/>
              </w:rPr>
            </w:pPr>
            <w:r>
              <w:rPr>
                <w:rFonts w:hint="eastAsia" w:ascii="Times New Roman" w:hAnsi="Times New Roman" w:eastAsia="宋体" w:cs="Times New Roman"/>
                <w:b w:val="0"/>
                <w:bCs w:val="0"/>
                <w:kern w:val="2"/>
                <w:sz w:val="18"/>
                <w:szCs w:val="18"/>
                <w:lang w:val="en-US" w:eastAsia="zh-CN" w:bidi="ar-SA"/>
              </w:rPr>
              <w:t>5.195</w:t>
            </w:r>
          </w:p>
        </w:tc>
      </w:tr>
      <w:tr w14:paraId="49462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pct"/>
            <w:shd w:val="clear" w:color="auto" w:fill="auto"/>
            <w:vAlign w:val="top"/>
          </w:tcPr>
          <w:p w14:paraId="7F647BAC">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18"/>
                <w:szCs w:val="18"/>
                <w:lang w:val="en-US" w:eastAsia="zh-CN" w:bidi="ar-SA"/>
              </w:rPr>
            </w:pPr>
            <w:r>
              <w:rPr>
                <w:rFonts w:hint="default" w:ascii="Times New Roman" w:hAnsi="Times New Roman" w:eastAsia="宋体" w:cs="Times New Roman"/>
                <w:b w:val="0"/>
                <w:bCs w:val="0"/>
                <w:sz w:val="18"/>
                <w:szCs w:val="18"/>
              </w:rPr>
              <w:t>（</w:t>
            </w:r>
            <w:r>
              <w:rPr>
                <w:rFonts w:hint="default" w:ascii="Times New Roman" w:hAnsi="Times New Roman" w:eastAsia="宋体" w:cs="Times New Roman"/>
                <w:b w:val="0"/>
                <w:bCs w:val="0"/>
                <w:sz w:val="18"/>
                <w:szCs w:val="18"/>
                <w:lang w:val="en-US" w:eastAsia="zh-CN"/>
              </w:rPr>
              <w:t>3</w:t>
            </w:r>
            <w:r>
              <w:rPr>
                <w:rFonts w:hint="default" w:ascii="Times New Roman" w:hAnsi="Times New Roman" w:eastAsia="宋体" w:cs="Times New Roman"/>
                <w:b w:val="0"/>
                <w:bCs w:val="0"/>
                <w:sz w:val="18"/>
                <w:szCs w:val="18"/>
              </w:rPr>
              <w:t>8）</w:t>
            </w:r>
          </w:p>
        </w:tc>
        <w:tc>
          <w:tcPr>
            <w:tcW w:w="1048" w:type="pct"/>
            <w:vAlign w:val="center"/>
          </w:tcPr>
          <w:p w14:paraId="45374E9D">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i w:val="0"/>
                <w:iCs w:val="0"/>
                <w:color w:val="000000"/>
                <w:kern w:val="0"/>
                <w:sz w:val="18"/>
                <w:szCs w:val="18"/>
                <w:u w:val="none"/>
                <w:lang w:val="en-US" w:eastAsia="zh-CN" w:bidi="ar"/>
              </w:rPr>
              <w:t>26-11-11</w:t>
            </w:r>
          </w:p>
        </w:tc>
        <w:tc>
          <w:tcPr>
            <w:tcW w:w="1541" w:type="pct"/>
            <w:shd w:val="clear" w:color="auto" w:fill="auto"/>
            <w:vAlign w:val="center"/>
          </w:tcPr>
          <w:p w14:paraId="591168A7">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kern w:val="2"/>
                <w:sz w:val="18"/>
                <w:szCs w:val="18"/>
                <w:lang w:val="en-US" w:eastAsia="zh-CN" w:bidi="ar-SA"/>
              </w:rPr>
            </w:pPr>
            <w:r>
              <w:rPr>
                <w:rFonts w:hint="eastAsia" w:ascii="Times New Roman" w:hAnsi="Times New Roman" w:eastAsia="宋体" w:cs="Times New Roman"/>
                <w:b w:val="0"/>
                <w:bCs w:val="0"/>
                <w:sz w:val="18"/>
                <w:szCs w:val="18"/>
                <w:lang w:val="en-US" w:eastAsia="zh-CN"/>
              </w:rPr>
              <w:t>37.78</w:t>
            </w:r>
          </w:p>
        </w:tc>
        <w:tc>
          <w:tcPr>
            <w:tcW w:w="1311" w:type="pct"/>
            <w:shd w:val="clear" w:color="auto" w:fill="auto"/>
            <w:vAlign w:val="center"/>
          </w:tcPr>
          <w:p w14:paraId="2B757DBC">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kern w:val="2"/>
                <w:sz w:val="18"/>
                <w:szCs w:val="18"/>
                <w:lang w:val="en-US" w:eastAsia="zh-CN" w:bidi="ar-SA"/>
              </w:rPr>
            </w:pPr>
            <w:r>
              <w:rPr>
                <w:rFonts w:hint="eastAsia" w:ascii="Times New Roman" w:hAnsi="Times New Roman" w:eastAsia="宋体" w:cs="Times New Roman"/>
                <w:b w:val="0"/>
                <w:bCs w:val="0"/>
                <w:kern w:val="2"/>
                <w:sz w:val="18"/>
                <w:szCs w:val="18"/>
                <w:lang w:val="en-US" w:eastAsia="zh-CN" w:bidi="ar-SA"/>
              </w:rPr>
              <w:t>6.04</w:t>
            </w:r>
          </w:p>
        </w:tc>
      </w:tr>
      <w:tr w14:paraId="73372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pct"/>
            <w:shd w:val="clear" w:color="auto" w:fill="auto"/>
            <w:vAlign w:val="top"/>
          </w:tcPr>
          <w:p w14:paraId="12BA54E2">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18"/>
                <w:szCs w:val="18"/>
                <w:lang w:val="en-US" w:eastAsia="zh-CN" w:bidi="ar-SA"/>
              </w:rPr>
            </w:pPr>
            <w:r>
              <w:rPr>
                <w:rFonts w:hint="default" w:ascii="Times New Roman" w:hAnsi="Times New Roman" w:eastAsia="宋体" w:cs="Times New Roman"/>
                <w:b w:val="0"/>
                <w:bCs w:val="0"/>
                <w:sz w:val="18"/>
                <w:szCs w:val="18"/>
              </w:rPr>
              <w:t>（</w:t>
            </w:r>
            <w:r>
              <w:rPr>
                <w:rFonts w:hint="default" w:ascii="Times New Roman" w:hAnsi="Times New Roman" w:eastAsia="宋体" w:cs="Times New Roman"/>
                <w:b w:val="0"/>
                <w:bCs w:val="0"/>
                <w:sz w:val="18"/>
                <w:szCs w:val="18"/>
                <w:lang w:val="en-US" w:eastAsia="zh-CN"/>
              </w:rPr>
              <w:t>40</w:t>
            </w:r>
            <w:r>
              <w:rPr>
                <w:rFonts w:hint="default" w:ascii="Times New Roman" w:hAnsi="Times New Roman" w:eastAsia="宋体" w:cs="Times New Roman"/>
                <w:b w:val="0"/>
                <w:bCs w:val="0"/>
                <w:sz w:val="18"/>
                <w:szCs w:val="18"/>
              </w:rPr>
              <w:t>）</w:t>
            </w:r>
          </w:p>
        </w:tc>
        <w:tc>
          <w:tcPr>
            <w:tcW w:w="1048" w:type="pct"/>
            <w:vAlign w:val="center"/>
          </w:tcPr>
          <w:p w14:paraId="1C2D7EB5">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i w:val="0"/>
                <w:iCs w:val="0"/>
                <w:color w:val="000000"/>
                <w:kern w:val="0"/>
                <w:sz w:val="18"/>
                <w:szCs w:val="18"/>
                <w:u w:val="none"/>
                <w:lang w:val="en-US" w:eastAsia="zh-CN" w:bidi="ar"/>
              </w:rPr>
              <w:t>25-11-11</w:t>
            </w:r>
          </w:p>
        </w:tc>
        <w:tc>
          <w:tcPr>
            <w:tcW w:w="1541" w:type="pct"/>
            <w:vAlign w:val="center"/>
          </w:tcPr>
          <w:p w14:paraId="47DCFF68">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lang w:val="en-US" w:eastAsia="zh-CN"/>
              </w:rPr>
            </w:pPr>
            <w:r>
              <w:rPr>
                <w:rFonts w:hint="eastAsia" w:ascii="Times New Roman" w:hAnsi="Times New Roman" w:eastAsia="宋体" w:cs="Times New Roman"/>
                <w:b w:val="0"/>
                <w:bCs w:val="0"/>
                <w:sz w:val="18"/>
                <w:szCs w:val="18"/>
                <w:lang w:val="en-US" w:eastAsia="zh-CN"/>
              </w:rPr>
              <w:t>57.72</w:t>
            </w:r>
          </w:p>
        </w:tc>
        <w:tc>
          <w:tcPr>
            <w:tcW w:w="1311" w:type="pct"/>
            <w:shd w:val="clear" w:color="auto" w:fill="auto"/>
            <w:vAlign w:val="center"/>
          </w:tcPr>
          <w:p w14:paraId="6ED26A6C">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kern w:val="2"/>
                <w:sz w:val="18"/>
                <w:szCs w:val="18"/>
                <w:lang w:val="en-US" w:eastAsia="zh-CN" w:bidi="ar-SA"/>
              </w:rPr>
            </w:pPr>
            <w:r>
              <w:rPr>
                <w:rFonts w:hint="eastAsia" w:ascii="Times New Roman" w:hAnsi="Times New Roman" w:eastAsia="宋体" w:cs="Times New Roman"/>
                <w:b w:val="0"/>
                <w:bCs w:val="0"/>
                <w:kern w:val="2"/>
                <w:sz w:val="18"/>
                <w:szCs w:val="18"/>
                <w:lang w:val="en-US" w:eastAsia="zh-CN" w:bidi="ar-SA"/>
              </w:rPr>
              <w:t>7.42</w:t>
            </w:r>
          </w:p>
        </w:tc>
      </w:tr>
      <w:tr w14:paraId="4A42B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pct"/>
            <w:shd w:val="clear" w:color="auto" w:fill="auto"/>
            <w:vAlign w:val="top"/>
          </w:tcPr>
          <w:p w14:paraId="736954F8">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18"/>
                <w:szCs w:val="18"/>
                <w:lang w:val="en-US" w:eastAsia="zh-CN" w:bidi="ar-SA"/>
              </w:rPr>
            </w:pPr>
            <w:r>
              <w:rPr>
                <w:rFonts w:hint="default" w:ascii="Times New Roman" w:hAnsi="Times New Roman" w:eastAsia="宋体" w:cs="Times New Roman"/>
                <w:b w:val="0"/>
                <w:bCs w:val="0"/>
                <w:sz w:val="18"/>
                <w:szCs w:val="18"/>
              </w:rPr>
              <w:t>（</w:t>
            </w:r>
            <w:r>
              <w:rPr>
                <w:rFonts w:hint="default" w:ascii="Times New Roman" w:hAnsi="Times New Roman" w:eastAsia="宋体" w:cs="Times New Roman"/>
                <w:b w:val="0"/>
                <w:bCs w:val="0"/>
                <w:sz w:val="18"/>
                <w:szCs w:val="18"/>
                <w:lang w:val="en-US" w:eastAsia="zh-CN"/>
              </w:rPr>
              <w:t>4</w:t>
            </w:r>
            <w:r>
              <w:rPr>
                <w:rFonts w:hint="default" w:ascii="Times New Roman" w:hAnsi="Times New Roman" w:eastAsia="宋体" w:cs="Times New Roman"/>
                <w:b w:val="0"/>
                <w:bCs w:val="0"/>
                <w:sz w:val="18"/>
                <w:szCs w:val="18"/>
              </w:rPr>
              <w:t>1）</w:t>
            </w:r>
          </w:p>
        </w:tc>
        <w:tc>
          <w:tcPr>
            <w:tcW w:w="1048" w:type="pct"/>
            <w:vAlign w:val="center"/>
          </w:tcPr>
          <w:p w14:paraId="1AE9C225">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i w:val="0"/>
                <w:iCs w:val="0"/>
                <w:color w:val="000000"/>
                <w:kern w:val="0"/>
                <w:sz w:val="18"/>
                <w:szCs w:val="18"/>
                <w:u w:val="none"/>
                <w:lang w:val="en-US" w:eastAsia="zh-CN" w:bidi="ar"/>
              </w:rPr>
              <w:t>26-10-12</w:t>
            </w:r>
          </w:p>
        </w:tc>
        <w:tc>
          <w:tcPr>
            <w:tcW w:w="1541" w:type="pct"/>
            <w:vAlign w:val="center"/>
          </w:tcPr>
          <w:p w14:paraId="66699999">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lang w:val="en-US" w:eastAsia="zh-CN"/>
              </w:rPr>
            </w:pPr>
            <w:r>
              <w:rPr>
                <w:rFonts w:hint="eastAsia" w:ascii="Times New Roman" w:hAnsi="Times New Roman" w:eastAsia="宋体" w:cs="Times New Roman"/>
                <w:b w:val="0"/>
                <w:bCs w:val="0"/>
                <w:sz w:val="18"/>
                <w:szCs w:val="18"/>
                <w:lang w:val="en-US" w:eastAsia="zh-CN"/>
              </w:rPr>
              <w:t>84.00</w:t>
            </w:r>
          </w:p>
        </w:tc>
        <w:tc>
          <w:tcPr>
            <w:tcW w:w="1311" w:type="pct"/>
            <w:shd w:val="clear" w:color="auto" w:fill="auto"/>
            <w:vAlign w:val="center"/>
          </w:tcPr>
          <w:p w14:paraId="7DACED1D">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kern w:val="2"/>
                <w:sz w:val="18"/>
                <w:szCs w:val="18"/>
                <w:lang w:val="en-US" w:eastAsia="zh-CN" w:bidi="ar-SA"/>
              </w:rPr>
            </w:pPr>
            <w:r>
              <w:rPr>
                <w:rFonts w:hint="eastAsia" w:ascii="Times New Roman" w:hAnsi="Times New Roman" w:eastAsia="宋体" w:cs="Times New Roman"/>
                <w:b w:val="0"/>
                <w:bCs w:val="0"/>
                <w:kern w:val="2"/>
                <w:sz w:val="18"/>
                <w:szCs w:val="18"/>
                <w:lang w:val="en-US" w:eastAsia="zh-CN" w:bidi="ar-SA"/>
              </w:rPr>
              <w:t>9.98</w:t>
            </w:r>
          </w:p>
        </w:tc>
      </w:tr>
      <w:tr w14:paraId="336DD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pct"/>
            <w:shd w:val="clear" w:color="auto" w:fill="auto"/>
            <w:vAlign w:val="top"/>
          </w:tcPr>
          <w:p w14:paraId="40CF47FE">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18"/>
                <w:szCs w:val="18"/>
                <w:lang w:val="en-US" w:eastAsia="zh-CN" w:bidi="ar-SA"/>
              </w:rPr>
            </w:pPr>
            <w:r>
              <w:rPr>
                <w:rFonts w:hint="default" w:ascii="Times New Roman" w:hAnsi="Times New Roman" w:eastAsia="宋体" w:cs="Times New Roman"/>
                <w:b w:val="0"/>
                <w:bCs w:val="0"/>
                <w:sz w:val="18"/>
                <w:szCs w:val="18"/>
              </w:rPr>
              <w:t>（</w:t>
            </w:r>
            <w:r>
              <w:rPr>
                <w:rFonts w:hint="default" w:ascii="Times New Roman" w:hAnsi="Times New Roman" w:eastAsia="宋体" w:cs="Times New Roman"/>
                <w:b w:val="0"/>
                <w:bCs w:val="0"/>
                <w:sz w:val="18"/>
                <w:szCs w:val="18"/>
                <w:lang w:val="en-US" w:eastAsia="zh-CN"/>
              </w:rPr>
              <w:t>4</w:t>
            </w:r>
            <w:r>
              <w:rPr>
                <w:rFonts w:hint="default" w:ascii="Times New Roman" w:hAnsi="Times New Roman" w:eastAsia="宋体" w:cs="Times New Roman"/>
                <w:b w:val="0"/>
                <w:bCs w:val="0"/>
                <w:sz w:val="18"/>
                <w:szCs w:val="18"/>
              </w:rPr>
              <w:t>3）</w:t>
            </w:r>
          </w:p>
        </w:tc>
        <w:tc>
          <w:tcPr>
            <w:tcW w:w="1048" w:type="pct"/>
            <w:vAlign w:val="center"/>
          </w:tcPr>
          <w:p w14:paraId="41DF79B6">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i w:val="0"/>
                <w:iCs w:val="0"/>
                <w:color w:val="000000"/>
                <w:kern w:val="0"/>
                <w:sz w:val="18"/>
                <w:szCs w:val="18"/>
                <w:u w:val="none"/>
                <w:lang w:val="en-US" w:eastAsia="zh-CN" w:bidi="ar"/>
              </w:rPr>
              <w:t>25-10-11</w:t>
            </w:r>
          </w:p>
        </w:tc>
        <w:tc>
          <w:tcPr>
            <w:tcW w:w="1541" w:type="pct"/>
            <w:vAlign w:val="center"/>
          </w:tcPr>
          <w:p w14:paraId="0E24CD7E">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color w:val="auto"/>
                <w:sz w:val="18"/>
                <w:szCs w:val="18"/>
                <w:lang w:val="en-US" w:eastAsia="zh-CN"/>
              </w:rPr>
            </w:pPr>
            <w:r>
              <w:rPr>
                <w:rFonts w:hint="eastAsia" w:ascii="Times New Roman" w:hAnsi="Times New Roman" w:eastAsia="宋体" w:cs="Times New Roman"/>
                <w:b w:val="0"/>
                <w:bCs w:val="0"/>
                <w:color w:val="auto"/>
                <w:sz w:val="18"/>
                <w:szCs w:val="18"/>
                <w:lang w:val="en-US" w:eastAsia="zh-CN"/>
              </w:rPr>
              <w:t>133.03</w:t>
            </w:r>
          </w:p>
        </w:tc>
        <w:tc>
          <w:tcPr>
            <w:tcW w:w="1311" w:type="pct"/>
            <w:shd w:val="clear" w:color="auto" w:fill="auto"/>
            <w:vAlign w:val="center"/>
          </w:tcPr>
          <w:p w14:paraId="1D7E17E9">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color w:val="auto"/>
                <w:kern w:val="2"/>
                <w:sz w:val="18"/>
                <w:szCs w:val="18"/>
                <w:lang w:val="en-US" w:eastAsia="zh-CN" w:bidi="ar-SA"/>
              </w:rPr>
            </w:pPr>
            <w:r>
              <w:rPr>
                <w:rFonts w:hint="eastAsia" w:ascii="Times New Roman" w:hAnsi="Times New Roman" w:eastAsia="宋体" w:cs="Times New Roman"/>
                <w:b w:val="0"/>
                <w:bCs w:val="0"/>
                <w:color w:val="auto"/>
                <w:kern w:val="2"/>
                <w:sz w:val="18"/>
                <w:szCs w:val="18"/>
                <w:lang w:val="en-US" w:eastAsia="zh-CN" w:bidi="ar-SA"/>
              </w:rPr>
              <w:t>15.38</w:t>
            </w:r>
          </w:p>
        </w:tc>
      </w:tr>
      <w:tr w14:paraId="57DB5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pct"/>
            <w:shd w:val="clear" w:color="auto" w:fill="auto"/>
            <w:vAlign w:val="top"/>
          </w:tcPr>
          <w:p w14:paraId="7B41DCAA">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18"/>
                <w:szCs w:val="18"/>
                <w:lang w:val="en-US" w:eastAsia="zh-CN" w:bidi="ar-SA"/>
              </w:rPr>
            </w:pPr>
            <w:r>
              <w:rPr>
                <w:rFonts w:hint="default" w:ascii="Times New Roman" w:hAnsi="Times New Roman" w:eastAsia="宋体" w:cs="Times New Roman"/>
                <w:b w:val="0"/>
                <w:bCs w:val="0"/>
                <w:sz w:val="18"/>
                <w:szCs w:val="18"/>
              </w:rPr>
              <w:t>（</w:t>
            </w:r>
            <w:r>
              <w:rPr>
                <w:rFonts w:hint="default" w:ascii="Times New Roman" w:hAnsi="Times New Roman" w:eastAsia="宋体" w:cs="Times New Roman"/>
                <w:b w:val="0"/>
                <w:bCs w:val="0"/>
                <w:sz w:val="18"/>
                <w:szCs w:val="18"/>
                <w:lang w:val="en-US" w:eastAsia="zh-CN"/>
              </w:rPr>
              <w:t>4</w:t>
            </w:r>
            <w:r>
              <w:rPr>
                <w:rFonts w:hint="default" w:ascii="Times New Roman" w:hAnsi="Times New Roman" w:eastAsia="宋体" w:cs="Times New Roman"/>
                <w:b w:val="0"/>
                <w:bCs w:val="0"/>
                <w:sz w:val="18"/>
                <w:szCs w:val="18"/>
              </w:rPr>
              <w:t>5）</w:t>
            </w:r>
          </w:p>
        </w:tc>
        <w:tc>
          <w:tcPr>
            <w:tcW w:w="1048" w:type="pct"/>
            <w:vAlign w:val="center"/>
          </w:tcPr>
          <w:p w14:paraId="3DF2D7DE">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i w:val="0"/>
                <w:iCs w:val="0"/>
                <w:color w:val="000000"/>
                <w:kern w:val="0"/>
                <w:sz w:val="18"/>
                <w:szCs w:val="18"/>
                <w:u w:val="none"/>
                <w:lang w:val="en-US" w:eastAsia="zh-CN" w:bidi="ar"/>
              </w:rPr>
              <w:t>25-5-5</w:t>
            </w:r>
          </w:p>
        </w:tc>
        <w:tc>
          <w:tcPr>
            <w:tcW w:w="1541" w:type="pct"/>
            <w:vAlign w:val="center"/>
          </w:tcPr>
          <w:p w14:paraId="2EFC62DD">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lang w:val="en-US" w:eastAsia="zh-CN"/>
              </w:rPr>
            </w:pPr>
            <w:r>
              <w:rPr>
                <w:rFonts w:hint="eastAsia" w:ascii="Times New Roman" w:hAnsi="Times New Roman" w:eastAsia="宋体" w:cs="Times New Roman"/>
                <w:b w:val="0"/>
                <w:bCs w:val="0"/>
                <w:sz w:val="18"/>
                <w:szCs w:val="18"/>
                <w:lang w:val="en-US" w:eastAsia="zh-CN"/>
              </w:rPr>
              <w:t>18.78</w:t>
            </w:r>
          </w:p>
        </w:tc>
        <w:tc>
          <w:tcPr>
            <w:tcW w:w="1311" w:type="pct"/>
            <w:shd w:val="clear" w:color="auto" w:fill="auto"/>
            <w:vAlign w:val="center"/>
          </w:tcPr>
          <w:p w14:paraId="478B1BF9">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kern w:val="2"/>
                <w:sz w:val="18"/>
                <w:szCs w:val="18"/>
                <w:lang w:val="en-US" w:eastAsia="zh-CN" w:bidi="ar-SA"/>
              </w:rPr>
            </w:pPr>
            <w:r>
              <w:rPr>
                <w:rFonts w:hint="eastAsia" w:ascii="Times New Roman" w:hAnsi="Times New Roman" w:eastAsia="宋体" w:cs="Times New Roman"/>
                <w:b w:val="0"/>
                <w:bCs w:val="0"/>
                <w:kern w:val="2"/>
                <w:sz w:val="18"/>
                <w:szCs w:val="18"/>
                <w:lang w:val="en-US" w:eastAsia="zh-CN" w:bidi="ar-SA"/>
              </w:rPr>
              <w:t>-2.36</w:t>
            </w:r>
          </w:p>
        </w:tc>
      </w:tr>
      <w:tr w14:paraId="0F9EC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pct"/>
            <w:shd w:val="clear" w:color="auto" w:fill="auto"/>
            <w:vAlign w:val="top"/>
          </w:tcPr>
          <w:p w14:paraId="6227BFAA">
            <w:pPr>
              <w:keepLines w:val="0"/>
              <w:pageBreakBefore w:val="0"/>
              <w:wordWrap/>
              <w:overflowPunct/>
              <w:topLinePunct w:val="0"/>
              <w:bidi w:val="0"/>
              <w:spacing w:line="360" w:lineRule="auto"/>
              <w:rPr>
                <w:rFonts w:hint="eastAsia" w:ascii="Times New Roman" w:hAnsi="Times New Roman" w:eastAsia="宋体" w:cs="Times New Roman"/>
                <w:b w:val="0"/>
                <w:bCs w:val="0"/>
                <w:sz w:val="18"/>
                <w:szCs w:val="18"/>
                <w:lang w:val="en-US" w:eastAsia="zh-CN"/>
              </w:rPr>
            </w:pPr>
            <w:r>
              <w:rPr>
                <w:rFonts w:hint="default" w:ascii="Times New Roman" w:hAnsi="Times New Roman" w:eastAsia="宋体" w:cs="Times New Roman"/>
                <w:b w:val="0"/>
                <w:bCs w:val="0"/>
                <w:sz w:val="18"/>
                <w:szCs w:val="18"/>
              </w:rPr>
              <w:t>（</w:t>
            </w:r>
            <w:r>
              <w:rPr>
                <w:rFonts w:hint="default" w:ascii="Times New Roman" w:hAnsi="Times New Roman" w:eastAsia="宋体" w:cs="Times New Roman"/>
                <w:b w:val="0"/>
                <w:bCs w:val="0"/>
                <w:sz w:val="18"/>
                <w:szCs w:val="18"/>
                <w:lang w:val="en-US" w:eastAsia="zh-CN"/>
              </w:rPr>
              <w:t>4</w:t>
            </w:r>
            <w:r>
              <w:rPr>
                <w:rFonts w:hint="default" w:ascii="Times New Roman" w:hAnsi="Times New Roman" w:eastAsia="宋体" w:cs="Times New Roman"/>
                <w:b w:val="0"/>
                <w:bCs w:val="0"/>
                <w:sz w:val="18"/>
                <w:szCs w:val="18"/>
              </w:rPr>
              <w:t>6）</w:t>
            </w:r>
          </w:p>
        </w:tc>
        <w:tc>
          <w:tcPr>
            <w:tcW w:w="1048" w:type="pct"/>
            <w:vAlign w:val="center"/>
          </w:tcPr>
          <w:p w14:paraId="6388EECE">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0"/>
                <w:sz w:val="18"/>
                <w:szCs w:val="18"/>
                <w:u w:val="none"/>
                <w:lang w:val="en-US" w:eastAsia="zh-CN" w:bidi="ar"/>
              </w:rPr>
            </w:pPr>
            <w:r>
              <w:rPr>
                <w:rFonts w:hint="default" w:ascii="Times New Roman" w:hAnsi="Times New Roman" w:eastAsia="宋体" w:cs="Times New Roman"/>
                <w:b w:val="0"/>
                <w:bCs w:val="0"/>
                <w:i w:val="0"/>
                <w:iCs w:val="0"/>
                <w:color w:val="000000"/>
                <w:kern w:val="0"/>
                <w:sz w:val="18"/>
                <w:szCs w:val="18"/>
                <w:u w:val="none"/>
                <w:lang w:val="en-US" w:eastAsia="zh-CN" w:bidi="ar"/>
              </w:rPr>
              <w:t>15-5-5</w:t>
            </w:r>
          </w:p>
        </w:tc>
        <w:tc>
          <w:tcPr>
            <w:tcW w:w="1541" w:type="pct"/>
            <w:vAlign w:val="center"/>
          </w:tcPr>
          <w:p w14:paraId="62833430">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sz w:val="18"/>
                <w:szCs w:val="18"/>
                <w:lang w:val="en-US" w:eastAsia="zh-CN"/>
              </w:rPr>
            </w:pPr>
            <w:r>
              <w:rPr>
                <w:rFonts w:hint="eastAsia" w:ascii="Times New Roman" w:hAnsi="Times New Roman" w:eastAsia="宋体" w:cs="Times New Roman"/>
                <w:b w:val="0"/>
                <w:bCs w:val="0"/>
                <w:sz w:val="18"/>
                <w:szCs w:val="18"/>
                <w:lang w:val="en-US" w:eastAsia="zh-CN"/>
              </w:rPr>
              <w:t>32.56</w:t>
            </w:r>
          </w:p>
        </w:tc>
        <w:tc>
          <w:tcPr>
            <w:tcW w:w="1311" w:type="pct"/>
            <w:vAlign w:val="center"/>
          </w:tcPr>
          <w:p w14:paraId="5FC82C2C">
            <w:pPr>
              <w:keepLines w:val="0"/>
              <w:pageBreakBefore w:val="0"/>
              <w:wordWrap/>
              <w:overflowPunct/>
              <w:topLinePunct w:val="0"/>
              <w:bidi w:val="0"/>
              <w:spacing w:line="360" w:lineRule="auto"/>
              <w:rPr>
                <w:rFonts w:hint="default" w:ascii="Times New Roman" w:hAnsi="Times New Roman" w:eastAsia="宋体" w:cs="Times New Roman"/>
                <w:b w:val="0"/>
                <w:bCs w:val="0"/>
                <w:sz w:val="18"/>
                <w:szCs w:val="18"/>
                <w:lang w:val="en-US" w:eastAsia="zh-CN"/>
              </w:rPr>
            </w:pPr>
            <w:r>
              <w:rPr>
                <w:rFonts w:hint="eastAsia" w:ascii="Times New Roman" w:hAnsi="Times New Roman" w:eastAsia="宋体" w:cs="Times New Roman"/>
                <w:b w:val="0"/>
                <w:bCs w:val="0"/>
                <w:sz w:val="18"/>
                <w:szCs w:val="18"/>
                <w:lang w:val="en-US" w:eastAsia="zh-CN"/>
              </w:rPr>
              <w:t>12.56</w:t>
            </w:r>
          </w:p>
        </w:tc>
      </w:tr>
      <w:tr w14:paraId="46606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pct"/>
            <w:shd w:val="clear" w:color="auto" w:fill="auto"/>
            <w:vAlign w:val="top"/>
          </w:tcPr>
          <w:p w14:paraId="0FA1B2B9">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18"/>
                <w:szCs w:val="18"/>
                <w:lang w:val="en-US" w:eastAsia="zh-CN" w:bidi="ar-SA"/>
              </w:rPr>
            </w:pPr>
            <w:r>
              <w:rPr>
                <w:rFonts w:hint="default" w:ascii="Times New Roman" w:hAnsi="Times New Roman" w:eastAsia="宋体" w:cs="Times New Roman"/>
                <w:b w:val="0"/>
                <w:bCs w:val="0"/>
                <w:sz w:val="18"/>
                <w:szCs w:val="18"/>
              </w:rPr>
              <w:t>（</w:t>
            </w:r>
            <w:r>
              <w:rPr>
                <w:rFonts w:hint="default" w:ascii="Times New Roman" w:hAnsi="Times New Roman" w:eastAsia="宋体" w:cs="Times New Roman"/>
                <w:b w:val="0"/>
                <w:bCs w:val="0"/>
                <w:sz w:val="18"/>
                <w:szCs w:val="18"/>
                <w:lang w:val="en-US" w:eastAsia="zh-CN"/>
              </w:rPr>
              <w:t>47</w:t>
            </w:r>
            <w:r>
              <w:rPr>
                <w:rFonts w:hint="default" w:ascii="Times New Roman" w:hAnsi="Times New Roman" w:eastAsia="宋体" w:cs="Times New Roman"/>
                <w:b w:val="0"/>
                <w:bCs w:val="0"/>
                <w:sz w:val="18"/>
                <w:szCs w:val="18"/>
              </w:rPr>
              <w:t>）</w:t>
            </w:r>
          </w:p>
        </w:tc>
        <w:tc>
          <w:tcPr>
            <w:tcW w:w="1048" w:type="pct"/>
            <w:shd w:val="clear" w:color="auto" w:fill="auto"/>
            <w:vAlign w:val="center"/>
          </w:tcPr>
          <w:p w14:paraId="3334DD20">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kern w:val="2"/>
                <w:sz w:val="18"/>
                <w:szCs w:val="18"/>
                <w:lang w:val="en-US" w:eastAsia="zh-CN" w:bidi="ar-SA"/>
              </w:rPr>
            </w:pPr>
            <w:r>
              <w:rPr>
                <w:rFonts w:hint="default" w:ascii="Times New Roman" w:hAnsi="Times New Roman" w:eastAsia="宋体" w:cs="Times New Roman"/>
                <w:b w:val="0"/>
                <w:bCs w:val="0"/>
                <w:i w:val="0"/>
                <w:iCs w:val="0"/>
                <w:color w:val="000000"/>
                <w:kern w:val="0"/>
                <w:sz w:val="18"/>
                <w:szCs w:val="18"/>
                <w:u w:val="none"/>
                <w:lang w:val="en-US" w:eastAsia="zh-CN" w:bidi="ar"/>
              </w:rPr>
              <w:t>稳定性尿素</w:t>
            </w:r>
          </w:p>
        </w:tc>
        <w:tc>
          <w:tcPr>
            <w:tcW w:w="1541" w:type="pct"/>
            <w:vAlign w:val="center"/>
          </w:tcPr>
          <w:p w14:paraId="693E5FD6">
            <w:pPr>
              <w:keepLines w:val="0"/>
              <w:pageBreakBefore w:val="0"/>
              <w:wordWrap/>
              <w:overflowPunct/>
              <w:topLinePunct w:val="0"/>
              <w:bidi w:val="0"/>
              <w:spacing w:line="360" w:lineRule="auto"/>
              <w:rPr>
                <w:rFonts w:hint="default" w:ascii="Times New Roman" w:hAnsi="Times New Roman" w:eastAsia="宋体" w:cs="Times New Roman"/>
                <w:b w:val="0"/>
                <w:bCs w:val="0"/>
                <w:sz w:val="18"/>
                <w:szCs w:val="18"/>
                <w:lang w:val="en-US" w:eastAsia="zh-CN"/>
              </w:rPr>
            </w:pPr>
            <w:r>
              <w:rPr>
                <w:rFonts w:hint="eastAsia" w:ascii="Times New Roman" w:hAnsi="Times New Roman" w:eastAsia="宋体" w:cs="Times New Roman"/>
                <w:b w:val="0"/>
                <w:bCs w:val="0"/>
                <w:sz w:val="18"/>
                <w:szCs w:val="18"/>
                <w:lang w:val="en-US" w:eastAsia="zh-CN"/>
              </w:rPr>
              <w:t>56.60</w:t>
            </w:r>
          </w:p>
        </w:tc>
        <w:tc>
          <w:tcPr>
            <w:tcW w:w="1311" w:type="pct"/>
            <w:vAlign w:val="center"/>
          </w:tcPr>
          <w:p w14:paraId="265E81CD">
            <w:pPr>
              <w:keepLines w:val="0"/>
              <w:pageBreakBefore w:val="0"/>
              <w:wordWrap/>
              <w:overflowPunct/>
              <w:topLinePunct w:val="0"/>
              <w:bidi w:val="0"/>
              <w:spacing w:line="360" w:lineRule="auto"/>
              <w:rPr>
                <w:rFonts w:hint="default" w:ascii="Times New Roman" w:hAnsi="Times New Roman" w:eastAsia="宋体" w:cs="Times New Roman"/>
                <w:b w:val="0"/>
                <w:bCs w:val="0"/>
                <w:sz w:val="18"/>
                <w:szCs w:val="18"/>
                <w:lang w:val="en-US" w:eastAsia="zh-CN"/>
              </w:rPr>
            </w:pPr>
            <w:r>
              <w:rPr>
                <w:rFonts w:hint="eastAsia" w:ascii="Times New Roman" w:hAnsi="Times New Roman" w:eastAsia="宋体" w:cs="Times New Roman"/>
                <w:b w:val="0"/>
                <w:bCs w:val="0"/>
                <w:sz w:val="18"/>
                <w:szCs w:val="18"/>
                <w:lang w:val="en-US" w:eastAsia="zh-CN"/>
              </w:rPr>
              <w:t>13.04</w:t>
            </w:r>
          </w:p>
        </w:tc>
      </w:tr>
      <w:tr w14:paraId="386FE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pct"/>
            <w:shd w:val="clear" w:color="auto" w:fill="auto"/>
            <w:vAlign w:val="top"/>
          </w:tcPr>
          <w:p w14:paraId="7886CD6F">
            <w:pPr>
              <w:keepLines w:val="0"/>
              <w:pageBreakBefore w:val="0"/>
              <w:wordWrap/>
              <w:overflowPunct/>
              <w:topLinePunct w:val="0"/>
              <w:bidi w:val="0"/>
              <w:spacing w:line="360" w:lineRule="auto"/>
              <w:rPr>
                <w:rFonts w:hint="default" w:ascii="Times New Roman" w:hAnsi="Times New Roman" w:eastAsia="宋体" w:cs="Times New Roman"/>
                <w:b w:val="0"/>
                <w:bCs w:val="0"/>
                <w:kern w:val="2"/>
                <w:sz w:val="18"/>
                <w:szCs w:val="18"/>
                <w:lang w:val="en-US" w:eastAsia="zh-CN" w:bidi="ar-SA"/>
              </w:rPr>
            </w:pPr>
            <w:r>
              <w:rPr>
                <w:rFonts w:hint="default" w:ascii="Times New Roman" w:hAnsi="Times New Roman" w:eastAsia="宋体" w:cs="Times New Roman"/>
                <w:b w:val="0"/>
                <w:bCs w:val="0"/>
                <w:sz w:val="18"/>
                <w:szCs w:val="18"/>
              </w:rPr>
              <w:t>（</w:t>
            </w:r>
            <w:r>
              <w:rPr>
                <w:rFonts w:hint="default" w:ascii="Times New Roman" w:hAnsi="Times New Roman" w:eastAsia="宋体" w:cs="Times New Roman"/>
                <w:b w:val="0"/>
                <w:bCs w:val="0"/>
                <w:sz w:val="18"/>
                <w:szCs w:val="18"/>
                <w:lang w:val="en-US" w:eastAsia="zh-CN"/>
              </w:rPr>
              <w:t>48</w:t>
            </w:r>
            <w:r>
              <w:rPr>
                <w:rFonts w:hint="default" w:ascii="Times New Roman" w:hAnsi="Times New Roman" w:eastAsia="宋体" w:cs="Times New Roman"/>
                <w:b w:val="0"/>
                <w:bCs w:val="0"/>
                <w:sz w:val="18"/>
                <w:szCs w:val="18"/>
              </w:rPr>
              <w:t>）</w:t>
            </w:r>
          </w:p>
        </w:tc>
        <w:tc>
          <w:tcPr>
            <w:tcW w:w="1048" w:type="pct"/>
            <w:shd w:val="clear" w:color="auto" w:fill="auto"/>
            <w:vAlign w:val="center"/>
          </w:tcPr>
          <w:p w14:paraId="2F88FA9F">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kern w:val="2"/>
                <w:sz w:val="18"/>
                <w:szCs w:val="18"/>
                <w:lang w:val="en-US" w:eastAsia="zh-CN" w:bidi="ar-SA"/>
              </w:rPr>
            </w:pPr>
            <w:r>
              <w:rPr>
                <w:rFonts w:hint="default" w:ascii="Times New Roman" w:hAnsi="Times New Roman" w:eastAsia="宋体" w:cs="Times New Roman"/>
                <w:b w:val="0"/>
                <w:bCs w:val="0"/>
                <w:i w:val="0"/>
                <w:iCs w:val="0"/>
                <w:color w:val="000000"/>
                <w:kern w:val="0"/>
                <w:sz w:val="18"/>
                <w:szCs w:val="18"/>
                <w:u w:val="none"/>
                <w:lang w:val="en-US" w:eastAsia="zh-CN" w:bidi="ar"/>
              </w:rPr>
              <w:t>稳定性尿素</w:t>
            </w:r>
          </w:p>
        </w:tc>
        <w:tc>
          <w:tcPr>
            <w:tcW w:w="1541" w:type="pct"/>
            <w:vAlign w:val="center"/>
          </w:tcPr>
          <w:p w14:paraId="37C97770">
            <w:pPr>
              <w:keepLines w:val="0"/>
              <w:pageBreakBefore w:val="0"/>
              <w:wordWrap/>
              <w:overflowPunct/>
              <w:topLinePunct w:val="0"/>
              <w:bidi w:val="0"/>
              <w:spacing w:line="360" w:lineRule="auto"/>
              <w:rPr>
                <w:rFonts w:hint="default" w:ascii="Times New Roman" w:hAnsi="Times New Roman" w:eastAsia="宋体" w:cs="Times New Roman"/>
                <w:b w:val="0"/>
                <w:bCs w:val="0"/>
                <w:sz w:val="18"/>
                <w:szCs w:val="18"/>
                <w:lang w:val="en-US" w:eastAsia="zh-CN"/>
              </w:rPr>
            </w:pPr>
            <w:r>
              <w:rPr>
                <w:rFonts w:hint="eastAsia" w:ascii="Times New Roman" w:hAnsi="Times New Roman" w:eastAsia="宋体" w:cs="Times New Roman"/>
                <w:b w:val="0"/>
                <w:bCs w:val="0"/>
                <w:sz w:val="18"/>
                <w:szCs w:val="18"/>
                <w:lang w:val="en-US" w:eastAsia="zh-CN"/>
              </w:rPr>
              <w:t>60.69</w:t>
            </w:r>
          </w:p>
        </w:tc>
        <w:tc>
          <w:tcPr>
            <w:tcW w:w="1311" w:type="pct"/>
            <w:vAlign w:val="center"/>
          </w:tcPr>
          <w:p w14:paraId="51A7CB34">
            <w:pPr>
              <w:keepLines w:val="0"/>
              <w:pageBreakBefore w:val="0"/>
              <w:wordWrap/>
              <w:overflowPunct/>
              <w:topLinePunct w:val="0"/>
              <w:bidi w:val="0"/>
              <w:spacing w:line="360" w:lineRule="auto"/>
              <w:rPr>
                <w:rFonts w:hint="default" w:ascii="Times New Roman" w:hAnsi="Times New Roman" w:eastAsia="宋体" w:cs="Times New Roman"/>
                <w:b w:val="0"/>
                <w:bCs w:val="0"/>
                <w:sz w:val="18"/>
                <w:szCs w:val="18"/>
                <w:lang w:val="en-US" w:eastAsia="zh-CN"/>
              </w:rPr>
            </w:pPr>
            <w:r>
              <w:rPr>
                <w:rFonts w:hint="eastAsia" w:ascii="Times New Roman" w:hAnsi="Times New Roman" w:eastAsia="宋体" w:cs="Times New Roman"/>
                <w:b w:val="0"/>
                <w:bCs w:val="0"/>
                <w:sz w:val="18"/>
                <w:szCs w:val="18"/>
                <w:lang w:val="en-US" w:eastAsia="zh-CN"/>
              </w:rPr>
              <w:t>0.00</w:t>
            </w:r>
          </w:p>
        </w:tc>
      </w:tr>
    </w:tbl>
    <w:p w14:paraId="1291B9AB">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lang w:val="en-US" w:eastAsia="zh-CN" w:bidi="ar-SA"/>
        </w:rPr>
      </w:pPr>
    </w:p>
    <w:p w14:paraId="289AA477">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6.2.2 不同类型土壤中肥料样品的硝化潜势差异率</w:t>
      </w:r>
    </w:p>
    <w:p w14:paraId="2CFE917E">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选取棕壤、红壤、黑土、灌漠土、白浆土这几种分布在中国东南西北的典型土壤进行硝化潜势差异率测定方法稳定性的验证。选取的肥料是38、46、47号样品，分别代表稳定性复合肥、稳定性铵态氮和稳定性尿素样品。</w:t>
      </w:r>
    </w:p>
    <w:p w14:paraId="378F044B">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3种代表性的稳定性复合肥、稳定性铵态氮肥、稳定性尿素在不同类型土壤中的硝化潜势差异率结果表明，稳定性复合肥在供试的4种土壤中均回产生明显的硝化潜势抑制效果，而稳定性尿素在除灌漠土外的3种土壤中同样展现了明显的硝化抑制效果，而稳定性铵态氮肥在除盐碱土外的3种土壤中均没有展示其硝化抑制功能。后经沟通，发现该种肥料种的NAM添加剂只添加了5 kg/吨，没有达到要求的添加量（7 kg/t），故导致其硝化抑制效果不稳定。而稳定性铵态氮肥和稳定性尿素在灌漠土中没有展示硝化抑制效果，可能是由于其pH（7.91）太高所致，因为GBT 41223-2021《土壤质量 硝化潜势和硝化抑制作用的测定 氨氧化快速检测法》中规定了该方法适宜的土壤pH范围在5.5-7.5之间。</w:t>
      </w:r>
    </w:p>
    <w:p w14:paraId="7E739CB5">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kern w:val="2"/>
          <w:sz w:val="22"/>
          <w:szCs w:val="22"/>
          <w:lang w:val="en-US" w:eastAsia="zh-CN" w:bidi="ar-SA"/>
        </w:rPr>
      </w:pPr>
      <w:r>
        <w:rPr>
          <w:rFonts w:hint="eastAsia" w:ascii="Times New Roman" w:hAnsi="Times New Roman" w:eastAsia="宋体" w:cs="Times New Roman"/>
          <w:b/>
          <w:bCs/>
          <w:kern w:val="2"/>
          <w:sz w:val="22"/>
          <w:szCs w:val="22"/>
          <w:lang w:val="en-US" w:eastAsia="zh-CN" w:bidi="ar-SA"/>
        </w:rPr>
        <w:t>表18 不同土壤中稳定性肥料的硝化潜势差异率</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1216"/>
        <w:gridCol w:w="816"/>
        <w:gridCol w:w="717"/>
        <w:gridCol w:w="816"/>
        <w:gridCol w:w="717"/>
        <w:gridCol w:w="816"/>
        <w:gridCol w:w="766"/>
        <w:gridCol w:w="816"/>
        <w:gridCol w:w="717"/>
      </w:tblGrid>
      <w:tr w14:paraId="43863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14:paraId="30E5FBBE">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p>
        </w:tc>
        <w:tc>
          <w:tcPr>
            <w:tcW w:w="1216" w:type="dxa"/>
          </w:tcPr>
          <w:p w14:paraId="02C6EF64">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p>
        </w:tc>
        <w:tc>
          <w:tcPr>
            <w:tcW w:w="0" w:type="auto"/>
            <w:gridSpan w:val="2"/>
          </w:tcPr>
          <w:p w14:paraId="5658F7E1">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baseline"/>
                <w:lang w:val="en-US" w:eastAsia="zh-CN" w:bidi="ar-SA"/>
              </w:rPr>
              <w:t>黑土</w:t>
            </w:r>
          </w:p>
        </w:tc>
        <w:tc>
          <w:tcPr>
            <w:tcW w:w="0" w:type="auto"/>
            <w:gridSpan w:val="2"/>
          </w:tcPr>
          <w:p w14:paraId="08A838F6">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baseline"/>
                <w:lang w:val="en-US" w:eastAsia="zh-CN" w:bidi="ar-SA"/>
              </w:rPr>
              <w:t>灌漠土</w:t>
            </w:r>
          </w:p>
        </w:tc>
        <w:tc>
          <w:tcPr>
            <w:tcW w:w="0" w:type="auto"/>
            <w:gridSpan w:val="2"/>
          </w:tcPr>
          <w:p w14:paraId="348156ED">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baseline"/>
                <w:lang w:val="en-US" w:eastAsia="zh-CN" w:bidi="ar-SA"/>
              </w:rPr>
              <w:t>盐碱土</w:t>
            </w:r>
          </w:p>
        </w:tc>
        <w:tc>
          <w:tcPr>
            <w:tcW w:w="0" w:type="auto"/>
            <w:gridSpan w:val="2"/>
          </w:tcPr>
          <w:p w14:paraId="11E61336">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baseline"/>
                <w:lang w:val="en-US" w:eastAsia="zh-CN" w:bidi="ar-SA"/>
              </w:rPr>
              <w:t>白浆土</w:t>
            </w:r>
          </w:p>
        </w:tc>
      </w:tr>
      <w:tr w14:paraId="050FF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14:paraId="6254F881">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p>
        </w:tc>
        <w:tc>
          <w:tcPr>
            <w:tcW w:w="1216" w:type="dxa"/>
          </w:tcPr>
          <w:p w14:paraId="13623A04">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p>
        </w:tc>
        <w:tc>
          <w:tcPr>
            <w:tcW w:w="0" w:type="auto"/>
            <w:shd w:val="clear" w:color="auto" w:fill="auto"/>
            <w:vAlign w:val="center"/>
          </w:tcPr>
          <w:p w14:paraId="32F9A707">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2"/>
                <w:sz w:val="18"/>
                <w:szCs w:val="18"/>
                <w:u w:val="none"/>
                <w:lang w:val="en-US" w:eastAsia="zh-CN" w:bidi="ar"/>
              </w:rPr>
            </w:pPr>
            <w:r>
              <w:rPr>
                <w:rStyle w:val="14"/>
                <w:rFonts w:hint="default" w:ascii="Times New Roman" w:hAnsi="Times New Roman" w:eastAsia="宋体" w:cs="Times New Roman"/>
                <w:b w:val="0"/>
                <w:bCs w:val="0"/>
                <w:sz w:val="18"/>
                <w:szCs w:val="18"/>
                <w:lang w:val="en-US" w:eastAsia="zh-CN" w:bidi="ar"/>
              </w:rPr>
              <w:t>RNP%</w:t>
            </w:r>
          </w:p>
        </w:tc>
        <w:tc>
          <w:tcPr>
            <w:tcW w:w="0" w:type="auto"/>
            <w:shd w:val="clear" w:color="auto" w:fill="auto"/>
            <w:vAlign w:val="center"/>
          </w:tcPr>
          <w:p w14:paraId="0E12FD0B">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2"/>
                <w:sz w:val="18"/>
                <w:szCs w:val="18"/>
                <w:u w:val="none"/>
                <w:lang w:val="en-US" w:eastAsia="zh-CN" w:bidi="ar"/>
              </w:rPr>
            </w:pPr>
            <w:r>
              <w:rPr>
                <w:rStyle w:val="14"/>
                <w:rFonts w:hint="default" w:ascii="Times New Roman" w:hAnsi="Times New Roman" w:eastAsia="宋体" w:cs="Times New Roman"/>
                <w:b w:val="0"/>
                <w:bCs w:val="0"/>
                <w:sz w:val="18"/>
                <w:szCs w:val="18"/>
                <w:lang w:val="en-US" w:eastAsia="zh-CN" w:bidi="ar"/>
              </w:rPr>
              <w:t>RNP%</w:t>
            </w:r>
          </w:p>
        </w:tc>
        <w:tc>
          <w:tcPr>
            <w:tcW w:w="0" w:type="auto"/>
            <w:shd w:val="clear" w:color="auto" w:fill="auto"/>
            <w:vAlign w:val="center"/>
          </w:tcPr>
          <w:p w14:paraId="11FF30A2">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2"/>
                <w:sz w:val="18"/>
                <w:szCs w:val="18"/>
                <w:u w:val="none"/>
                <w:lang w:val="en-US" w:eastAsia="zh-CN" w:bidi="ar"/>
              </w:rPr>
            </w:pPr>
            <w:r>
              <w:rPr>
                <w:rStyle w:val="14"/>
                <w:rFonts w:hint="default" w:ascii="Times New Roman" w:hAnsi="Times New Roman" w:eastAsia="宋体" w:cs="Times New Roman"/>
                <w:b w:val="0"/>
                <w:bCs w:val="0"/>
                <w:sz w:val="18"/>
                <w:szCs w:val="18"/>
                <w:lang w:val="en-US" w:eastAsia="zh-CN" w:bidi="ar"/>
              </w:rPr>
              <w:t>RNP%</w:t>
            </w:r>
          </w:p>
        </w:tc>
        <w:tc>
          <w:tcPr>
            <w:tcW w:w="0" w:type="auto"/>
            <w:shd w:val="clear" w:color="auto" w:fill="auto"/>
            <w:vAlign w:val="center"/>
          </w:tcPr>
          <w:p w14:paraId="0F284AAA">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2"/>
                <w:sz w:val="18"/>
                <w:szCs w:val="18"/>
                <w:u w:val="none"/>
                <w:lang w:val="en-US" w:eastAsia="zh-CN" w:bidi="ar"/>
              </w:rPr>
            </w:pPr>
            <w:r>
              <w:rPr>
                <w:rStyle w:val="14"/>
                <w:rFonts w:hint="default" w:ascii="Times New Roman" w:hAnsi="Times New Roman" w:eastAsia="宋体" w:cs="Times New Roman"/>
                <w:b w:val="0"/>
                <w:bCs w:val="0"/>
                <w:sz w:val="18"/>
                <w:szCs w:val="18"/>
                <w:lang w:val="en-US" w:eastAsia="zh-CN" w:bidi="ar"/>
              </w:rPr>
              <w:t>RNP%</w:t>
            </w:r>
          </w:p>
        </w:tc>
        <w:tc>
          <w:tcPr>
            <w:tcW w:w="0" w:type="auto"/>
            <w:shd w:val="clear" w:color="auto" w:fill="auto"/>
            <w:vAlign w:val="center"/>
          </w:tcPr>
          <w:p w14:paraId="624FA375">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2"/>
                <w:sz w:val="18"/>
                <w:szCs w:val="18"/>
                <w:u w:val="none"/>
                <w:lang w:val="en-US" w:eastAsia="zh-CN" w:bidi="ar"/>
              </w:rPr>
            </w:pPr>
            <w:r>
              <w:rPr>
                <w:rStyle w:val="14"/>
                <w:rFonts w:hint="default" w:ascii="Times New Roman" w:hAnsi="Times New Roman" w:eastAsia="宋体" w:cs="Times New Roman"/>
                <w:b w:val="0"/>
                <w:bCs w:val="0"/>
                <w:sz w:val="18"/>
                <w:szCs w:val="18"/>
                <w:lang w:val="en-US" w:eastAsia="zh-CN" w:bidi="ar"/>
              </w:rPr>
              <w:t>RNP%</w:t>
            </w:r>
          </w:p>
        </w:tc>
        <w:tc>
          <w:tcPr>
            <w:tcW w:w="0" w:type="auto"/>
            <w:shd w:val="clear" w:color="auto" w:fill="auto"/>
            <w:vAlign w:val="center"/>
          </w:tcPr>
          <w:p w14:paraId="7D0FF53A">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2"/>
                <w:sz w:val="18"/>
                <w:szCs w:val="18"/>
                <w:u w:val="none"/>
                <w:lang w:val="en-US" w:eastAsia="zh-CN" w:bidi="ar"/>
              </w:rPr>
            </w:pPr>
            <w:r>
              <w:rPr>
                <w:rStyle w:val="14"/>
                <w:rFonts w:hint="default" w:ascii="Times New Roman" w:hAnsi="Times New Roman" w:eastAsia="宋体" w:cs="Times New Roman"/>
                <w:b w:val="0"/>
                <w:bCs w:val="0"/>
                <w:sz w:val="18"/>
                <w:szCs w:val="18"/>
                <w:lang w:val="en-US" w:eastAsia="zh-CN" w:bidi="ar"/>
              </w:rPr>
              <w:t>RNP%</w:t>
            </w:r>
          </w:p>
        </w:tc>
        <w:tc>
          <w:tcPr>
            <w:tcW w:w="0" w:type="auto"/>
            <w:shd w:val="clear" w:color="auto" w:fill="auto"/>
            <w:vAlign w:val="center"/>
          </w:tcPr>
          <w:p w14:paraId="4331656D">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2"/>
                <w:sz w:val="18"/>
                <w:szCs w:val="18"/>
                <w:u w:val="none"/>
                <w:lang w:val="en-US" w:eastAsia="zh-CN" w:bidi="ar"/>
              </w:rPr>
            </w:pPr>
            <w:r>
              <w:rPr>
                <w:rStyle w:val="14"/>
                <w:rFonts w:hint="default" w:ascii="Times New Roman" w:hAnsi="Times New Roman" w:eastAsia="宋体" w:cs="Times New Roman"/>
                <w:b w:val="0"/>
                <w:bCs w:val="0"/>
                <w:sz w:val="18"/>
                <w:szCs w:val="18"/>
                <w:lang w:val="en-US" w:eastAsia="zh-CN" w:bidi="ar"/>
              </w:rPr>
              <w:t>RNP%</w:t>
            </w:r>
          </w:p>
        </w:tc>
        <w:tc>
          <w:tcPr>
            <w:tcW w:w="0" w:type="auto"/>
            <w:shd w:val="clear" w:color="auto" w:fill="auto"/>
            <w:vAlign w:val="center"/>
          </w:tcPr>
          <w:p w14:paraId="070E1824">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2"/>
                <w:sz w:val="18"/>
                <w:szCs w:val="18"/>
                <w:u w:val="none"/>
                <w:lang w:val="en-US" w:eastAsia="zh-CN" w:bidi="ar"/>
              </w:rPr>
            </w:pPr>
            <w:r>
              <w:rPr>
                <w:rStyle w:val="14"/>
                <w:rFonts w:hint="default" w:ascii="Times New Roman" w:hAnsi="Times New Roman" w:eastAsia="宋体" w:cs="Times New Roman"/>
                <w:b w:val="0"/>
                <w:bCs w:val="0"/>
                <w:sz w:val="18"/>
                <w:szCs w:val="18"/>
                <w:lang w:val="en-US" w:eastAsia="zh-CN" w:bidi="ar"/>
              </w:rPr>
              <w:t>RNP%</w:t>
            </w:r>
          </w:p>
        </w:tc>
      </w:tr>
      <w:tr w14:paraId="27B3E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14:paraId="7AC9D914">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p>
        </w:tc>
        <w:tc>
          <w:tcPr>
            <w:tcW w:w="1216" w:type="dxa"/>
          </w:tcPr>
          <w:p w14:paraId="7C490B61">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p>
        </w:tc>
        <w:tc>
          <w:tcPr>
            <w:tcW w:w="0" w:type="auto"/>
            <w:shd w:val="clear" w:color="auto" w:fill="auto"/>
            <w:vAlign w:val="center"/>
          </w:tcPr>
          <w:p w14:paraId="5AE72CE0">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2"/>
                <w:sz w:val="20"/>
                <w:szCs w:val="20"/>
                <w:u w:val="none"/>
                <w:lang w:val="en-US" w:eastAsia="zh-CN" w:bidi="ar"/>
              </w:rPr>
            </w:pPr>
            <w:r>
              <w:rPr>
                <w:rStyle w:val="14"/>
                <w:rFonts w:hint="default" w:ascii="Times New Roman" w:hAnsi="Times New Roman" w:eastAsia="宋体" w:cs="Times New Roman"/>
                <w:b w:val="0"/>
                <w:bCs w:val="0"/>
                <w:sz w:val="20"/>
                <w:szCs w:val="20"/>
                <w:lang w:val="en-US" w:eastAsia="zh-CN" w:bidi="ar"/>
              </w:rPr>
              <w:t>减空白</w:t>
            </w:r>
          </w:p>
        </w:tc>
        <w:tc>
          <w:tcPr>
            <w:tcW w:w="0" w:type="auto"/>
            <w:shd w:val="clear" w:color="auto" w:fill="auto"/>
            <w:vAlign w:val="center"/>
          </w:tcPr>
          <w:p w14:paraId="0FB3042D">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2"/>
                <w:sz w:val="20"/>
                <w:szCs w:val="20"/>
                <w:u w:val="none"/>
                <w:lang w:val="en-US" w:eastAsia="zh-CN" w:bidi="ar"/>
              </w:rPr>
            </w:pPr>
            <w:r>
              <w:rPr>
                <w:rStyle w:val="14"/>
                <w:rFonts w:hint="default" w:ascii="Times New Roman" w:hAnsi="Times New Roman" w:eastAsia="宋体" w:cs="Times New Roman"/>
                <w:b w:val="0"/>
                <w:bCs w:val="0"/>
                <w:sz w:val="20"/>
                <w:szCs w:val="20"/>
                <w:lang w:val="en-US" w:eastAsia="zh-CN" w:bidi="ar"/>
              </w:rPr>
              <w:t>不减</w:t>
            </w:r>
          </w:p>
        </w:tc>
        <w:tc>
          <w:tcPr>
            <w:tcW w:w="0" w:type="auto"/>
            <w:shd w:val="clear" w:color="auto" w:fill="auto"/>
            <w:vAlign w:val="center"/>
          </w:tcPr>
          <w:p w14:paraId="2584B9E9">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2"/>
                <w:sz w:val="20"/>
                <w:szCs w:val="20"/>
                <w:u w:val="none"/>
                <w:lang w:val="en-US" w:eastAsia="zh-CN" w:bidi="ar"/>
              </w:rPr>
            </w:pPr>
            <w:r>
              <w:rPr>
                <w:rStyle w:val="14"/>
                <w:rFonts w:hint="default" w:ascii="Times New Roman" w:hAnsi="Times New Roman" w:eastAsia="宋体" w:cs="Times New Roman"/>
                <w:b w:val="0"/>
                <w:bCs w:val="0"/>
                <w:sz w:val="20"/>
                <w:szCs w:val="20"/>
                <w:lang w:val="en-US" w:eastAsia="zh-CN" w:bidi="ar"/>
              </w:rPr>
              <w:t>减空白</w:t>
            </w:r>
          </w:p>
        </w:tc>
        <w:tc>
          <w:tcPr>
            <w:tcW w:w="0" w:type="auto"/>
            <w:shd w:val="clear" w:color="auto" w:fill="auto"/>
            <w:vAlign w:val="center"/>
          </w:tcPr>
          <w:p w14:paraId="47C33DCF">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2"/>
                <w:sz w:val="20"/>
                <w:szCs w:val="20"/>
                <w:u w:val="none"/>
                <w:lang w:val="en-US" w:eastAsia="zh-CN" w:bidi="ar"/>
              </w:rPr>
            </w:pPr>
            <w:r>
              <w:rPr>
                <w:rStyle w:val="14"/>
                <w:rFonts w:hint="default" w:ascii="Times New Roman" w:hAnsi="Times New Roman" w:eastAsia="宋体" w:cs="Times New Roman"/>
                <w:b w:val="0"/>
                <w:bCs w:val="0"/>
                <w:sz w:val="20"/>
                <w:szCs w:val="20"/>
                <w:lang w:val="en-US" w:eastAsia="zh-CN" w:bidi="ar"/>
              </w:rPr>
              <w:t>不减</w:t>
            </w:r>
          </w:p>
        </w:tc>
        <w:tc>
          <w:tcPr>
            <w:tcW w:w="0" w:type="auto"/>
            <w:shd w:val="clear" w:color="auto" w:fill="auto"/>
            <w:vAlign w:val="center"/>
          </w:tcPr>
          <w:p w14:paraId="795C47AA">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2"/>
                <w:sz w:val="20"/>
                <w:szCs w:val="20"/>
                <w:u w:val="none"/>
                <w:lang w:val="en-US" w:eastAsia="zh-CN" w:bidi="ar"/>
              </w:rPr>
            </w:pPr>
            <w:r>
              <w:rPr>
                <w:rStyle w:val="14"/>
                <w:rFonts w:hint="default" w:ascii="Times New Roman" w:hAnsi="Times New Roman" w:eastAsia="宋体" w:cs="Times New Roman"/>
                <w:b w:val="0"/>
                <w:bCs w:val="0"/>
                <w:sz w:val="20"/>
                <w:szCs w:val="20"/>
                <w:lang w:val="en-US" w:eastAsia="zh-CN" w:bidi="ar"/>
              </w:rPr>
              <w:t>减空白</w:t>
            </w:r>
          </w:p>
        </w:tc>
        <w:tc>
          <w:tcPr>
            <w:tcW w:w="0" w:type="auto"/>
            <w:shd w:val="clear" w:color="auto" w:fill="auto"/>
            <w:vAlign w:val="center"/>
          </w:tcPr>
          <w:p w14:paraId="6C64AA47">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2"/>
                <w:sz w:val="20"/>
                <w:szCs w:val="20"/>
                <w:u w:val="none"/>
                <w:lang w:val="en-US" w:eastAsia="zh-CN" w:bidi="ar"/>
              </w:rPr>
            </w:pPr>
            <w:r>
              <w:rPr>
                <w:rStyle w:val="14"/>
                <w:rFonts w:hint="default" w:ascii="Times New Roman" w:hAnsi="Times New Roman" w:eastAsia="宋体" w:cs="Times New Roman"/>
                <w:b w:val="0"/>
                <w:bCs w:val="0"/>
                <w:sz w:val="20"/>
                <w:szCs w:val="20"/>
                <w:lang w:val="en-US" w:eastAsia="zh-CN" w:bidi="ar"/>
              </w:rPr>
              <w:t>不减</w:t>
            </w:r>
          </w:p>
        </w:tc>
        <w:tc>
          <w:tcPr>
            <w:tcW w:w="0" w:type="auto"/>
            <w:shd w:val="clear" w:color="auto" w:fill="auto"/>
            <w:vAlign w:val="center"/>
          </w:tcPr>
          <w:p w14:paraId="4330D133">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2"/>
                <w:sz w:val="20"/>
                <w:szCs w:val="20"/>
                <w:u w:val="none"/>
                <w:lang w:val="en-US" w:eastAsia="zh-CN" w:bidi="ar"/>
              </w:rPr>
            </w:pPr>
            <w:r>
              <w:rPr>
                <w:rStyle w:val="14"/>
                <w:rFonts w:hint="default" w:ascii="Times New Roman" w:hAnsi="Times New Roman" w:eastAsia="宋体" w:cs="Times New Roman"/>
                <w:b w:val="0"/>
                <w:bCs w:val="0"/>
                <w:sz w:val="20"/>
                <w:szCs w:val="20"/>
                <w:lang w:val="en-US" w:eastAsia="zh-CN" w:bidi="ar"/>
              </w:rPr>
              <w:t>减空白</w:t>
            </w:r>
          </w:p>
        </w:tc>
        <w:tc>
          <w:tcPr>
            <w:tcW w:w="0" w:type="auto"/>
            <w:shd w:val="clear" w:color="auto" w:fill="auto"/>
            <w:vAlign w:val="center"/>
          </w:tcPr>
          <w:p w14:paraId="557C78C1">
            <w:pPr>
              <w:keepNext w:val="0"/>
              <w:keepLines w:val="0"/>
              <w:pageBreakBefore w:val="0"/>
              <w:widowControl/>
              <w:suppressLineNumbers w:val="0"/>
              <w:wordWrap/>
              <w:overflowPunct/>
              <w:topLinePunct w:val="0"/>
              <w:bidi w:val="0"/>
              <w:spacing w:line="360" w:lineRule="auto"/>
              <w:jc w:val="left"/>
              <w:textAlignment w:val="center"/>
              <w:rPr>
                <w:rFonts w:hint="default" w:ascii="Times New Roman" w:hAnsi="Times New Roman" w:eastAsia="宋体" w:cs="Times New Roman"/>
                <w:b w:val="0"/>
                <w:bCs w:val="0"/>
                <w:i w:val="0"/>
                <w:iCs w:val="0"/>
                <w:color w:val="000000"/>
                <w:kern w:val="2"/>
                <w:sz w:val="20"/>
                <w:szCs w:val="20"/>
                <w:u w:val="none"/>
                <w:lang w:val="en-US" w:eastAsia="zh-CN" w:bidi="ar"/>
              </w:rPr>
            </w:pPr>
            <w:r>
              <w:rPr>
                <w:rStyle w:val="14"/>
                <w:rFonts w:hint="default" w:ascii="Times New Roman" w:hAnsi="Times New Roman" w:eastAsia="宋体" w:cs="Times New Roman"/>
                <w:b w:val="0"/>
                <w:bCs w:val="0"/>
                <w:sz w:val="20"/>
                <w:szCs w:val="20"/>
                <w:lang w:val="en-US" w:eastAsia="zh-CN" w:bidi="ar"/>
              </w:rPr>
              <w:t>不减</w:t>
            </w:r>
          </w:p>
        </w:tc>
      </w:tr>
      <w:tr w14:paraId="6896A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14:paraId="6D36115B">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baseline"/>
                <w:lang w:val="en-US" w:eastAsia="zh-CN" w:bidi="ar-SA"/>
              </w:rPr>
              <w:t>（38）</w:t>
            </w:r>
          </w:p>
        </w:tc>
        <w:tc>
          <w:tcPr>
            <w:tcW w:w="1216" w:type="dxa"/>
          </w:tcPr>
          <w:p w14:paraId="5C9CBD24">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baseline"/>
                <w:lang w:val="en-US" w:eastAsia="zh-CN" w:bidi="ar-SA"/>
              </w:rPr>
              <w:t>26-11-11</w:t>
            </w:r>
          </w:p>
        </w:tc>
        <w:tc>
          <w:tcPr>
            <w:tcW w:w="0" w:type="auto"/>
          </w:tcPr>
          <w:p w14:paraId="3A02B4C5">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baseline"/>
                <w:lang w:val="en-US" w:eastAsia="zh-CN" w:bidi="ar-SA"/>
              </w:rPr>
              <w:t>42.21</w:t>
            </w:r>
          </w:p>
        </w:tc>
        <w:tc>
          <w:tcPr>
            <w:tcW w:w="0" w:type="auto"/>
          </w:tcPr>
          <w:p w14:paraId="2E39A8E6">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baseline"/>
                <w:lang w:val="en-US" w:eastAsia="zh-CN" w:bidi="ar-SA"/>
              </w:rPr>
              <w:t>71.43</w:t>
            </w:r>
          </w:p>
        </w:tc>
        <w:tc>
          <w:tcPr>
            <w:tcW w:w="0" w:type="auto"/>
          </w:tcPr>
          <w:p w14:paraId="424783C9">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baseline"/>
                <w:lang w:val="en-US" w:eastAsia="zh-CN" w:bidi="ar-SA"/>
              </w:rPr>
              <w:t>42.10</w:t>
            </w:r>
          </w:p>
        </w:tc>
        <w:tc>
          <w:tcPr>
            <w:tcW w:w="0" w:type="auto"/>
          </w:tcPr>
          <w:p w14:paraId="246345E3">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baseline"/>
                <w:lang w:val="en-US" w:eastAsia="zh-CN" w:bidi="ar-SA"/>
              </w:rPr>
              <w:t>2.89</w:t>
            </w:r>
          </w:p>
        </w:tc>
        <w:tc>
          <w:tcPr>
            <w:tcW w:w="0" w:type="auto"/>
          </w:tcPr>
          <w:p w14:paraId="5F4F3D4D">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baseline"/>
                <w:lang w:val="en-US" w:eastAsia="zh-CN" w:bidi="ar-SA"/>
              </w:rPr>
              <w:t>183.65</w:t>
            </w:r>
          </w:p>
        </w:tc>
        <w:tc>
          <w:tcPr>
            <w:tcW w:w="0" w:type="auto"/>
          </w:tcPr>
          <w:p w14:paraId="298A7F4A">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baseline"/>
                <w:lang w:val="en-US" w:eastAsia="zh-CN" w:bidi="ar-SA"/>
              </w:rPr>
              <w:t>308.06</w:t>
            </w:r>
          </w:p>
        </w:tc>
        <w:tc>
          <w:tcPr>
            <w:tcW w:w="0" w:type="auto"/>
          </w:tcPr>
          <w:p w14:paraId="2B101615">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baseline"/>
                <w:lang w:val="en-US" w:eastAsia="zh-CN" w:bidi="ar-SA"/>
              </w:rPr>
              <w:t>18.66</w:t>
            </w:r>
          </w:p>
        </w:tc>
        <w:tc>
          <w:tcPr>
            <w:tcW w:w="0" w:type="auto"/>
          </w:tcPr>
          <w:p w14:paraId="651AFC94">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baseline"/>
                <w:lang w:val="en-US" w:eastAsia="zh-CN" w:bidi="ar-SA"/>
              </w:rPr>
              <w:t>12.38</w:t>
            </w:r>
          </w:p>
        </w:tc>
      </w:tr>
      <w:tr w14:paraId="65126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14:paraId="7E534C40">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baseline"/>
                <w:lang w:val="en-US" w:eastAsia="zh-CN" w:bidi="ar-SA"/>
              </w:rPr>
              <w:t>（46）</w:t>
            </w:r>
          </w:p>
        </w:tc>
        <w:tc>
          <w:tcPr>
            <w:tcW w:w="1216" w:type="dxa"/>
          </w:tcPr>
          <w:p w14:paraId="495E67AA">
            <w:pPr>
              <w:keepNext w:val="0"/>
              <w:keepLines w:val="0"/>
              <w:pageBreakBefore w:val="0"/>
              <w:widowControl w:val="0"/>
              <w:numPr>
                <w:ilvl w:val="1"/>
                <w:numId w:val="0"/>
              </w:numPr>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baseline"/>
                <w:lang w:val="en-US" w:eastAsia="zh-CN" w:bidi="ar-SA"/>
              </w:rPr>
              <w:t xml:space="preserve">15-5-5 </w:t>
            </w:r>
          </w:p>
          <w:p w14:paraId="03723B4C">
            <w:pPr>
              <w:keepNext w:val="0"/>
              <w:keepLines w:val="0"/>
              <w:pageBreakBefore w:val="0"/>
              <w:widowControl w:val="0"/>
              <w:numPr>
                <w:ilvl w:val="1"/>
                <w:numId w:val="0"/>
              </w:numPr>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baseline"/>
                <w:lang w:val="en-US" w:eastAsia="zh-CN" w:bidi="ar-SA"/>
              </w:rPr>
              <w:t>铵态氮肥</w:t>
            </w:r>
          </w:p>
        </w:tc>
        <w:tc>
          <w:tcPr>
            <w:tcW w:w="0" w:type="auto"/>
          </w:tcPr>
          <w:p w14:paraId="786FD3C5">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baseline"/>
                <w:lang w:val="en-US" w:eastAsia="zh-CN" w:bidi="ar-SA"/>
              </w:rPr>
              <w:t>41.17</w:t>
            </w:r>
          </w:p>
        </w:tc>
        <w:tc>
          <w:tcPr>
            <w:tcW w:w="0" w:type="auto"/>
          </w:tcPr>
          <w:p w14:paraId="51C5FFEF">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baseline"/>
                <w:lang w:val="en-US" w:eastAsia="zh-CN" w:bidi="ar-SA"/>
              </w:rPr>
              <w:t>33.33</w:t>
            </w:r>
          </w:p>
        </w:tc>
        <w:tc>
          <w:tcPr>
            <w:tcW w:w="0" w:type="auto"/>
          </w:tcPr>
          <w:p w14:paraId="2436C46E">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FF0000"/>
                <w:kern w:val="2"/>
                <w:sz w:val="20"/>
                <w:szCs w:val="20"/>
                <w:vertAlign w:val="baseline"/>
                <w:lang w:val="en-US" w:eastAsia="zh-CN" w:bidi="ar-SA"/>
              </w:rPr>
            </w:pPr>
            <w:r>
              <w:rPr>
                <w:rFonts w:hint="default" w:ascii="Times New Roman" w:hAnsi="Times New Roman" w:eastAsia="宋体" w:cs="Times New Roman"/>
                <w:color w:val="FF0000"/>
                <w:kern w:val="2"/>
                <w:sz w:val="20"/>
                <w:szCs w:val="20"/>
                <w:vertAlign w:val="baseline"/>
                <w:lang w:val="en-US" w:eastAsia="zh-CN" w:bidi="ar-SA"/>
              </w:rPr>
              <w:t>-39.65</w:t>
            </w:r>
          </w:p>
        </w:tc>
        <w:tc>
          <w:tcPr>
            <w:tcW w:w="0" w:type="auto"/>
          </w:tcPr>
          <w:p w14:paraId="7ACE51E9">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FF0000"/>
                <w:kern w:val="2"/>
                <w:sz w:val="20"/>
                <w:szCs w:val="20"/>
                <w:vertAlign w:val="baseline"/>
                <w:lang w:val="en-US" w:eastAsia="zh-CN" w:bidi="ar-SA"/>
              </w:rPr>
            </w:pPr>
            <w:r>
              <w:rPr>
                <w:rFonts w:hint="default" w:ascii="Times New Roman" w:hAnsi="Times New Roman" w:eastAsia="宋体" w:cs="Times New Roman"/>
                <w:color w:val="FF0000"/>
                <w:kern w:val="2"/>
                <w:sz w:val="20"/>
                <w:szCs w:val="20"/>
                <w:vertAlign w:val="baseline"/>
                <w:lang w:val="en-US" w:eastAsia="zh-CN" w:bidi="ar-SA"/>
              </w:rPr>
              <w:t>-3.17</w:t>
            </w:r>
          </w:p>
        </w:tc>
        <w:tc>
          <w:tcPr>
            <w:tcW w:w="0" w:type="auto"/>
          </w:tcPr>
          <w:p w14:paraId="723751BD">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baseline"/>
                <w:lang w:val="en-US" w:eastAsia="zh-CN" w:bidi="ar-SA"/>
              </w:rPr>
              <w:t>126.67</w:t>
            </w:r>
          </w:p>
        </w:tc>
        <w:tc>
          <w:tcPr>
            <w:tcW w:w="0" w:type="auto"/>
          </w:tcPr>
          <w:p w14:paraId="70BC8264">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baseline"/>
                <w:lang w:val="en-US" w:eastAsia="zh-CN" w:bidi="ar-SA"/>
              </w:rPr>
              <w:t>237.50</w:t>
            </w:r>
          </w:p>
        </w:tc>
        <w:tc>
          <w:tcPr>
            <w:tcW w:w="0" w:type="auto"/>
          </w:tcPr>
          <w:p w14:paraId="5445A8E3">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FF0000"/>
                <w:kern w:val="2"/>
                <w:sz w:val="20"/>
                <w:szCs w:val="20"/>
                <w:vertAlign w:val="baseline"/>
                <w:lang w:val="en-US" w:eastAsia="zh-CN" w:bidi="ar-SA"/>
              </w:rPr>
            </w:pPr>
            <w:r>
              <w:rPr>
                <w:rFonts w:hint="default" w:ascii="Times New Roman" w:hAnsi="Times New Roman" w:eastAsia="宋体" w:cs="Times New Roman"/>
                <w:color w:val="FF0000"/>
                <w:kern w:val="2"/>
                <w:sz w:val="20"/>
                <w:szCs w:val="20"/>
                <w:vertAlign w:val="baseline"/>
                <w:lang w:val="en-US" w:eastAsia="zh-CN" w:bidi="ar-SA"/>
              </w:rPr>
              <w:t>0.77</w:t>
            </w:r>
          </w:p>
        </w:tc>
        <w:tc>
          <w:tcPr>
            <w:tcW w:w="0" w:type="auto"/>
          </w:tcPr>
          <w:p w14:paraId="3BFCD8E5">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FF0000"/>
                <w:kern w:val="2"/>
                <w:sz w:val="20"/>
                <w:szCs w:val="20"/>
                <w:vertAlign w:val="baseline"/>
                <w:lang w:val="en-US" w:eastAsia="zh-CN" w:bidi="ar-SA"/>
              </w:rPr>
            </w:pPr>
            <w:r>
              <w:rPr>
                <w:rFonts w:hint="default" w:ascii="Times New Roman" w:hAnsi="Times New Roman" w:eastAsia="宋体" w:cs="Times New Roman"/>
                <w:color w:val="FF0000"/>
                <w:kern w:val="2"/>
                <w:sz w:val="20"/>
                <w:szCs w:val="20"/>
                <w:vertAlign w:val="baseline"/>
                <w:lang w:val="en-US" w:eastAsia="zh-CN" w:bidi="ar-SA"/>
              </w:rPr>
              <w:t>0.47</w:t>
            </w:r>
          </w:p>
        </w:tc>
      </w:tr>
      <w:tr w14:paraId="0DB6B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14:paraId="74C14EB1">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baseline"/>
                <w:lang w:val="en-US" w:eastAsia="zh-CN" w:bidi="ar-SA"/>
              </w:rPr>
              <w:t>（47）</w:t>
            </w:r>
          </w:p>
        </w:tc>
        <w:tc>
          <w:tcPr>
            <w:tcW w:w="1216" w:type="dxa"/>
          </w:tcPr>
          <w:p w14:paraId="0B45670F">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baseline"/>
                <w:lang w:val="en-US" w:eastAsia="zh-CN" w:bidi="ar-SA"/>
              </w:rPr>
              <w:t>稳定性尿素</w:t>
            </w:r>
          </w:p>
        </w:tc>
        <w:tc>
          <w:tcPr>
            <w:tcW w:w="0" w:type="auto"/>
          </w:tcPr>
          <w:p w14:paraId="5E4B6826">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baseline"/>
                <w:lang w:val="en-US" w:eastAsia="zh-CN" w:bidi="ar-SA"/>
              </w:rPr>
              <w:t>55.56</w:t>
            </w:r>
          </w:p>
        </w:tc>
        <w:tc>
          <w:tcPr>
            <w:tcW w:w="0" w:type="auto"/>
          </w:tcPr>
          <w:p w14:paraId="45F2AE8C">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baseline"/>
                <w:lang w:val="en-US" w:eastAsia="zh-CN" w:bidi="ar-SA"/>
              </w:rPr>
              <w:t>17.24</w:t>
            </w:r>
          </w:p>
        </w:tc>
        <w:tc>
          <w:tcPr>
            <w:tcW w:w="0" w:type="auto"/>
          </w:tcPr>
          <w:p w14:paraId="7EC6CDEB">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FF0000"/>
                <w:kern w:val="2"/>
                <w:sz w:val="20"/>
                <w:szCs w:val="20"/>
                <w:vertAlign w:val="baseline"/>
                <w:lang w:val="en-US" w:eastAsia="zh-CN" w:bidi="ar-SA"/>
              </w:rPr>
            </w:pPr>
            <w:r>
              <w:rPr>
                <w:rFonts w:hint="default" w:ascii="Times New Roman" w:hAnsi="Times New Roman" w:eastAsia="宋体" w:cs="Times New Roman"/>
                <w:color w:val="FF0000"/>
                <w:kern w:val="2"/>
                <w:sz w:val="20"/>
                <w:szCs w:val="20"/>
                <w:vertAlign w:val="baseline"/>
                <w:lang w:val="en-US" w:eastAsia="zh-CN" w:bidi="ar-SA"/>
              </w:rPr>
              <w:t>-44.99</w:t>
            </w:r>
          </w:p>
        </w:tc>
        <w:tc>
          <w:tcPr>
            <w:tcW w:w="0" w:type="auto"/>
          </w:tcPr>
          <w:p w14:paraId="63A5DC53">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FF0000"/>
                <w:kern w:val="2"/>
                <w:sz w:val="20"/>
                <w:szCs w:val="20"/>
                <w:vertAlign w:val="baseline"/>
                <w:lang w:val="en-US" w:eastAsia="zh-CN" w:bidi="ar-SA"/>
              </w:rPr>
            </w:pPr>
            <w:r>
              <w:rPr>
                <w:rFonts w:hint="default" w:ascii="Times New Roman" w:hAnsi="Times New Roman" w:eastAsia="宋体" w:cs="Times New Roman"/>
                <w:color w:val="FF0000"/>
                <w:kern w:val="2"/>
                <w:sz w:val="20"/>
                <w:szCs w:val="20"/>
                <w:vertAlign w:val="baseline"/>
                <w:lang w:val="en-US" w:eastAsia="zh-CN" w:bidi="ar-SA"/>
              </w:rPr>
              <w:t>-7.98</w:t>
            </w:r>
          </w:p>
        </w:tc>
        <w:tc>
          <w:tcPr>
            <w:tcW w:w="0" w:type="auto"/>
          </w:tcPr>
          <w:p w14:paraId="0DB85CED">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baseline"/>
                <w:lang w:val="en-US" w:eastAsia="zh-CN" w:bidi="ar-SA"/>
              </w:rPr>
              <w:t>750.00</w:t>
            </w:r>
          </w:p>
        </w:tc>
        <w:tc>
          <w:tcPr>
            <w:tcW w:w="0" w:type="auto"/>
          </w:tcPr>
          <w:p w14:paraId="10BB3E6C">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baseline"/>
                <w:lang w:val="en-US" w:eastAsia="zh-CN" w:bidi="ar-SA"/>
              </w:rPr>
              <w:t>7.92</w:t>
            </w:r>
          </w:p>
        </w:tc>
        <w:tc>
          <w:tcPr>
            <w:tcW w:w="0" w:type="auto"/>
          </w:tcPr>
          <w:p w14:paraId="10DDE2EF">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baseline"/>
                <w:lang w:val="en-US" w:eastAsia="zh-CN" w:bidi="ar-SA"/>
              </w:rPr>
              <w:t>24.90</w:t>
            </w:r>
          </w:p>
        </w:tc>
        <w:tc>
          <w:tcPr>
            <w:tcW w:w="0" w:type="auto"/>
          </w:tcPr>
          <w:p w14:paraId="46A792D5">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baseline"/>
                <w:lang w:val="en-US" w:eastAsia="zh-CN" w:bidi="ar-SA"/>
              </w:rPr>
              <w:t>10.58</w:t>
            </w:r>
          </w:p>
        </w:tc>
      </w:tr>
    </w:tbl>
    <w:p w14:paraId="3794CEF0">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6</w:t>
      </w:r>
      <w:r>
        <w:rPr>
          <w:rFonts w:hint="default" w:ascii="Times New Roman" w:hAnsi="Times New Roman" w:eastAsia="宋体" w:cs="Times New Roman"/>
          <w:kern w:val="2"/>
          <w:sz w:val="24"/>
          <w:szCs w:val="24"/>
          <w:lang w:val="en-US" w:eastAsia="zh-CN" w:bidi="ar-SA"/>
        </w:rPr>
        <w:t>.3 小结</w:t>
      </w:r>
    </w:p>
    <w:p w14:paraId="315E28CA">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通过摸索和优化稳定性肥料硝化潜势差异率测定方法的各项参数，最终促使稳定性肥料硝化潜势差异率测定方法在多种土壤中均能快速、稳定评价稳定性尿素、稳定性复合肥和以铵态氮为主的稳定性肥料的硝化抑制功能。</w:t>
      </w:r>
    </w:p>
    <w:p w14:paraId="6E1ED569">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0" w:firstLineChars="0"/>
        <w:textAlignment w:val="auto"/>
        <w:rPr>
          <w:rFonts w:hint="default" w:ascii="Times New Roman" w:hAnsi="Times New Roman" w:eastAsia="宋体" w:cs="Times New Roman"/>
          <w:b/>
          <w:bCs w:val="0"/>
          <w:color w:val="FF0000"/>
          <w:sz w:val="24"/>
          <w:szCs w:val="24"/>
          <w:lang w:val="en-US" w:eastAsia="zh-CN"/>
        </w:rPr>
      </w:pPr>
      <w:r>
        <w:rPr>
          <w:rFonts w:hint="eastAsia" w:ascii="Times New Roman" w:hAnsi="Times New Roman" w:eastAsia="宋体" w:cs="Times New Roman"/>
          <w:b/>
          <w:bCs w:val="0"/>
          <w:color w:val="FF0000"/>
          <w:sz w:val="24"/>
          <w:szCs w:val="24"/>
          <w:lang w:val="en-US" w:eastAsia="zh-CN"/>
        </w:rPr>
        <w:t>7、抑制剂含量测定</w:t>
      </w:r>
    </w:p>
    <w:p w14:paraId="5E3E0E0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FF0000"/>
          <w:sz w:val="24"/>
          <w:szCs w:val="24"/>
          <w:lang w:val="en-US" w:eastAsia="zh-CN"/>
        </w:rPr>
      </w:pPr>
      <w:r>
        <w:rPr>
          <w:rFonts w:hint="eastAsia" w:ascii="Times New Roman" w:hAnsi="Times New Roman" w:eastAsia="宋体" w:cs="Times New Roman"/>
          <w:color w:val="FF0000"/>
          <w:sz w:val="24"/>
          <w:szCs w:val="24"/>
          <w:lang w:val="en-US" w:eastAsia="zh-CN"/>
        </w:rPr>
        <w:t>7.1 抑制剂</w:t>
      </w:r>
      <w:r>
        <w:rPr>
          <w:rFonts w:hint="default" w:ascii="Times New Roman" w:hAnsi="Times New Roman" w:eastAsia="宋体" w:cs="Times New Roman"/>
          <w:color w:val="FF0000"/>
          <w:sz w:val="24"/>
          <w:szCs w:val="24"/>
          <w:lang w:val="en-US" w:eastAsia="zh-CN"/>
        </w:rPr>
        <w:t>NBPT</w:t>
      </w:r>
      <w:r>
        <w:rPr>
          <w:rFonts w:hint="eastAsia" w:ascii="Times New Roman" w:hAnsi="Times New Roman" w:eastAsia="宋体" w:cs="Times New Roman"/>
          <w:color w:val="FF0000"/>
          <w:sz w:val="24"/>
          <w:szCs w:val="24"/>
          <w:lang w:val="en-US" w:eastAsia="zh-CN"/>
        </w:rPr>
        <w:t>、DMPP、CP</w:t>
      </w:r>
      <w:r>
        <w:rPr>
          <w:rFonts w:hint="default" w:ascii="Times New Roman" w:hAnsi="Times New Roman" w:eastAsia="宋体" w:cs="Times New Roman"/>
          <w:color w:val="FF0000"/>
          <w:sz w:val="24"/>
          <w:szCs w:val="24"/>
          <w:lang w:val="en-US" w:eastAsia="zh-CN"/>
        </w:rPr>
        <w:t>含量测定方法</w:t>
      </w:r>
    </w:p>
    <w:p w14:paraId="4950082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FF0000"/>
          <w:sz w:val="24"/>
          <w:szCs w:val="24"/>
          <w:lang w:val="en-US" w:eastAsia="zh-CN"/>
        </w:rPr>
      </w:pPr>
      <w:r>
        <w:rPr>
          <w:rFonts w:hint="eastAsia" w:ascii="Times New Roman" w:hAnsi="Times New Roman" w:eastAsia="宋体" w:cs="Times New Roman"/>
          <w:color w:val="FF0000"/>
          <w:sz w:val="24"/>
          <w:szCs w:val="24"/>
          <w:lang w:val="en-US" w:eastAsia="zh-CN"/>
        </w:rPr>
        <w:t>7</w:t>
      </w:r>
      <w:r>
        <w:rPr>
          <w:rFonts w:hint="default" w:ascii="Times New Roman" w:hAnsi="Times New Roman" w:eastAsia="宋体" w:cs="Times New Roman"/>
          <w:color w:val="FF0000"/>
          <w:sz w:val="24"/>
          <w:szCs w:val="24"/>
          <w:lang w:val="en-US" w:eastAsia="zh-CN"/>
        </w:rPr>
        <w:t>.1</w:t>
      </w:r>
      <w:r>
        <w:rPr>
          <w:rFonts w:hint="eastAsia" w:ascii="Times New Roman" w:hAnsi="Times New Roman" w:eastAsia="宋体" w:cs="Times New Roman"/>
          <w:color w:val="FF0000"/>
          <w:sz w:val="24"/>
          <w:szCs w:val="24"/>
          <w:lang w:val="en-US" w:eastAsia="zh-CN"/>
        </w:rPr>
        <w:t>.1</w:t>
      </w:r>
      <w:r>
        <w:rPr>
          <w:rFonts w:hint="default" w:ascii="Times New Roman" w:hAnsi="Times New Roman" w:eastAsia="宋体" w:cs="Times New Roman"/>
          <w:color w:val="FF0000"/>
          <w:sz w:val="24"/>
          <w:szCs w:val="24"/>
          <w:lang w:val="en-US" w:eastAsia="zh-CN"/>
        </w:rPr>
        <w:t xml:space="preserve"> 材料与方法</w:t>
      </w:r>
    </w:p>
    <w:p w14:paraId="7564261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FF0000"/>
          <w:sz w:val="24"/>
          <w:szCs w:val="24"/>
          <w:lang w:val="en-US" w:eastAsia="zh-CN"/>
        </w:rPr>
      </w:pPr>
      <w:r>
        <w:rPr>
          <w:rFonts w:hint="eastAsia" w:ascii="Times New Roman" w:hAnsi="Times New Roman" w:eastAsia="宋体" w:cs="Times New Roman"/>
          <w:color w:val="FF0000"/>
          <w:kern w:val="2"/>
          <w:sz w:val="24"/>
          <w:szCs w:val="24"/>
          <w:lang w:val="en-US" w:eastAsia="zh-CN" w:bidi="ar-SA"/>
        </w:rPr>
        <w:t>7</w:t>
      </w:r>
      <w:r>
        <w:rPr>
          <w:rFonts w:hint="default" w:ascii="Times New Roman" w:hAnsi="Times New Roman" w:eastAsia="宋体" w:cs="Times New Roman"/>
          <w:color w:val="FF0000"/>
          <w:kern w:val="2"/>
          <w:sz w:val="24"/>
          <w:szCs w:val="24"/>
          <w:lang w:val="en-US" w:eastAsia="zh-CN" w:bidi="ar-SA"/>
        </w:rPr>
        <w:t>.1.1</w:t>
      </w:r>
      <w:r>
        <w:rPr>
          <w:rFonts w:hint="eastAsia" w:ascii="Times New Roman" w:hAnsi="Times New Roman" w:eastAsia="宋体" w:cs="Times New Roman"/>
          <w:color w:val="FF0000"/>
          <w:kern w:val="2"/>
          <w:sz w:val="24"/>
          <w:szCs w:val="24"/>
          <w:lang w:val="en-US" w:eastAsia="zh-CN" w:bidi="ar-SA"/>
        </w:rPr>
        <w:t>.1</w:t>
      </w:r>
      <w:r>
        <w:rPr>
          <w:rFonts w:hint="default" w:ascii="Times New Roman" w:hAnsi="Times New Roman" w:eastAsia="宋体" w:cs="Times New Roman"/>
          <w:color w:val="FF0000"/>
          <w:sz w:val="24"/>
          <w:szCs w:val="24"/>
          <w:lang w:val="en-US" w:eastAsia="zh-CN"/>
        </w:rPr>
        <w:t>供试肥料</w:t>
      </w:r>
    </w:p>
    <w:p w14:paraId="20D5AAD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FF0000"/>
          <w:sz w:val="24"/>
          <w:szCs w:val="24"/>
          <w:lang w:val="en-US" w:eastAsia="zh-CN"/>
        </w:rPr>
      </w:pPr>
      <w:r>
        <w:rPr>
          <w:rFonts w:hint="default" w:ascii="Times New Roman" w:hAnsi="Times New Roman" w:eastAsia="宋体" w:cs="Times New Roman"/>
          <w:color w:val="FF0000"/>
          <w:sz w:val="24"/>
          <w:szCs w:val="24"/>
          <w:lang w:val="en-US" w:eastAsia="zh-CN"/>
        </w:rPr>
        <w:t>见上文4.1.1中的表9。</w:t>
      </w:r>
    </w:p>
    <w:p w14:paraId="07543A2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FF0000"/>
          <w:kern w:val="2"/>
          <w:sz w:val="24"/>
          <w:szCs w:val="24"/>
          <w:lang w:val="en-US" w:eastAsia="zh-CN" w:bidi="ar-SA"/>
        </w:rPr>
      </w:pPr>
      <w:r>
        <w:rPr>
          <w:rFonts w:hint="eastAsia" w:ascii="Times New Roman" w:hAnsi="Times New Roman" w:eastAsia="宋体" w:cs="Times New Roman"/>
          <w:color w:val="FF0000"/>
          <w:kern w:val="2"/>
          <w:sz w:val="24"/>
          <w:szCs w:val="24"/>
          <w:lang w:val="en-US" w:eastAsia="zh-CN" w:bidi="ar-SA"/>
        </w:rPr>
        <w:t>7</w:t>
      </w:r>
      <w:r>
        <w:rPr>
          <w:rFonts w:hint="default" w:ascii="Times New Roman" w:hAnsi="Times New Roman" w:eastAsia="宋体" w:cs="Times New Roman"/>
          <w:color w:val="FF0000"/>
          <w:kern w:val="2"/>
          <w:sz w:val="24"/>
          <w:szCs w:val="24"/>
          <w:lang w:val="en-US" w:eastAsia="zh-CN" w:bidi="ar-SA"/>
        </w:rPr>
        <w:t>.1</w:t>
      </w:r>
      <w:r>
        <w:rPr>
          <w:rFonts w:hint="eastAsia" w:ascii="Times New Roman" w:hAnsi="Times New Roman" w:eastAsia="宋体" w:cs="Times New Roman"/>
          <w:color w:val="FF0000"/>
          <w:kern w:val="2"/>
          <w:sz w:val="24"/>
          <w:szCs w:val="24"/>
          <w:lang w:val="en-US" w:eastAsia="zh-CN" w:bidi="ar-SA"/>
        </w:rPr>
        <w:t>.1.</w:t>
      </w:r>
      <w:r>
        <w:rPr>
          <w:rFonts w:hint="default" w:ascii="Times New Roman" w:hAnsi="Times New Roman" w:eastAsia="宋体" w:cs="Times New Roman"/>
          <w:color w:val="FF0000"/>
          <w:kern w:val="2"/>
          <w:sz w:val="24"/>
          <w:szCs w:val="24"/>
          <w:lang w:val="en-US" w:eastAsia="zh-CN" w:bidi="ar-SA"/>
        </w:rPr>
        <w:t>2 测定方法和步骤</w:t>
      </w:r>
    </w:p>
    <w:p w14:paraId="5099B30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FF0000"/>
          <w:kern w:val="2"/>
          <w:sz w:val="24"/>
          <w:szCs w:val="24"/>
          <w:lang w:val="en-US" w:eastAsia="zh-CN" w:bidi="ar-SA"/>
        </w:rPr>
      </w:pPr>
      <w:r>
        <w:rPr>
          <w:rFonts w:hint="default" w:ascii="Times New Roman" w:hAnsi="Times New Roman" w:eastAsia="宋体" w:cs="Times New Roman"/>
          <w:color w:val="FF0000"/>
          <w:kern w:val="2"/>
          <w:sz w:val="24"/>
          <w:szCs w:val="24"/>
          <w:lang w:val="en-US" w:eastAsia="zh-CN" w:bidi="ar-SA"/>
        </w:rPr>
        <w:t>（</w:t>
      </w:r>
      <w:r>
        <w:rPr>
          <w:rFonts w:hint="eastAsia" w:ascii="Times New Roman" w:hAnsi="Times New Roman" w:eastAsia="宋体" w:cs="Times New Roman"/>
          <w:color w:val="FF0000"/>
          <w:kern w:val="2"/>
          <w:sz w:val="24"/>
          <w:szCs w:val="24"/>
          <w:lang w:val="en-US" w:eastAsia="zh-CN" w:bidi="ar-SA"/>
        </w:rPr>
        <w:t>1</w:t>
      </w:r>
      <w:r>
        <w:rPr>
          <w:rFonts w:hint="default" w:ascii="Times New Roman" w:hAnsi="Times New Roman" w:eastAsia="宋体" w:cs="Times New Roman"/>
          <w:color w:val="FF0000"/>
          <w:kern w:val="2"/>
          <w:sz w:val="24"/>
          <w:szCs w:val="24"/>
          <w:lang w:val="en-US" w:eastAsia="zh-CN" w:bidi="ar-SA"/>
        </w:rPr>
        <w:t>）</w:t>
      </w:r>
      <w:r>
        <w:rPr>
          <w:rFonts w:hint="eastAsia" w:ascii="Times New Roman" w:hAnsi="Times New Roman" w:eastAsia="宋体" w:cs="Times New Roman"/>
          <w:color w:val="FF0000"/>
          <w:kern w:val="2"/>
          <w:sz w:val="24"/>
          <w:szCs w:val="24"/>
          <w:lang w:val="en-US" w:eastAsia="zh-CN" w:bidi="ar-SA"/>
        </w:rPr>
        <w:t>NBPT含量</w:t>
      </w:r>
      <w:r>
        <w:rPr>
          <w:rFonts w:hint="default" w:ascii="Times New Roman" w:hAnsi="Times New Roman" w:eastAsia="宋体" w:cs="Times New Roman"/>
          <w:color w:val="FF0000"/>
          <w:kern w:val="2"/>
          <w:sz w:val="24"/>
          <w:szCs w:val="24"/>
          <w:lang w:val="en-US" w:eastAsia="zh-CN" w:bidi="ar-SA"/>
        </w:rPr>
        <w:t>测定步骤</w:t>
      </w:r>
      <w:r>
        <w:rPr>
          <w:rFonts w:hint="eastAsia" w:ascii="Times New Roman" w:hAnsi="Times New Roman" w:eastAsia="宋体" w:cs="Times New Roman"/>
          <w:color w:val="FF0000"/>
          <w:kern w:val="2"/>
          <w:sz w:val="24"/>
          <w:szCs w:val="24"/>
          <w:lang w:val="en-US" w:eastAsia="zh-CN" w:bidi="ar-SA"/>
        </w:rPr>
        <w:t xml:space="preserve">：称取2 </w:t>
      </w:r>
      <w:r>
        <w:rPr>
          <w:rFonts w:hint="default" w:ascii="Times New Roman" w:hAnsi="Times New Roman" w:eastAsia="宋体" w:cs="Times New Roman"/>
          <w:color w:val="FF0000"/>
          <w:kern w:val="2"/>
          <w:sz w:val="24"/>
          <w:szCs w:val="24"/>
          <w:lang w:val="en-US" w:eastAsia="zh-CN" w:bidi="ar-SA"/>
        </w:rPr>
        <w:t>g</w:t>
      </w:r>
      <w:r>
        <w:rPr>
          <w:rFonts w:hint="eastAsia" w:ascii="Times New Roman" w:hAnsi="Times New Roman" w:eastAsia="宋体" w:cs="Times New Roman"/>
          <w:color w:val="FF0000"/>
          <w:kern w:val="2"/>
          <w:sz w:val="24"/>
          <w:szCs w:val="24"/>
          <w:lang w:val="en-US" w:eastAsia="zh-CN" w:bidi="ar-SA"/>
        </w:rPr>
        <w:t xml:space="preserve">肥料溶解至50 </w:t>
      </w:r>
      <w:r>
        <w:rPr>
          <w:rFonts w:hint="default" w:ascii="Times New Roman" w:hAnsi="Times New Roman" w:eastAsia="宋体" w:cs="Times New Roman"/>
          <w:color w:val="FF0000"/>
          <w:kern w:val="2"/>
          <w:sz w:val="24"/>
          <w:szCs w:val="24"/>
          <w:lang w:val="en-US" w:eastAsia="zh-CN" w:bidi="ar-SA"/>
        </w:rPr>
        <w:t>ml，</w:t>
      </w:r>
      <w:r>
        <w:rPr>
          <w:rFonts w:hint="eastAsia" w:ascii="Times New Roman" w:hAnsi="Times New Roman" w:eastAsia="宋体" w:cs="Times New Roman"/>
          <w:color w:val="FF0000"/>
          <w:kern w:val="2"/>
          <w:sz w:val="24"/>
          <w:szCs w:val="24"/>
          <w:lang w:val="en-US" w:eastAsia="zh-CN" w:bidi="ar-SA"/>
        </w:rPr>
        <w:t>之后按照</w:t>
      </w:r>
      <w:r>
        <w:rPr>
          <w:rFonts w:hint="default" w:ascii="Times New Roman" w:hAnsi="Times New Roman" w:eastAsia="宋体" w:cs="Times New Roman"/>
          <w:color w:val="FF0000"/>
          <w:kern w:val="2"/>
          <w:sz w:val="24"/>
          <w:szCs w:val="24"/>
          <w:lang w:val="en-US" w:eastAsia="zh-CN" w:bidi="ar-SA"/>
        </w:rPr>
        <w:t>GB/T 46742</w:t>
      </w:r>
      <w:r>
        <w:rPr>
          <w:rFonts w:hint="eastAsia" w:ascii="Times New Roman" w:hAnsi="Times New Roman" w:eastAsia="宋体" w:cs="Times New Roman"/>
          <w:color w:val="FF0000"/>
          <w:kern w:val="2"/>
          <w:sz w:val="24"/>
          <w:szCs w:val="24"/>
          <w:lang w:val="en-US" w:eastAsia="zh-CN" w:bidi="ar-SA"/>
        </w:rPr>
        <w:t>中的液相色谱仪方法测定</w:t>
      </w:r>
      <w:r>
        <w:rPr>
          <w:rFonts w:hint="default" w:ascii="Times New Roman" w:hAnsi="Times New Roman" w:eastAsia="宋体" w:cs="Times New Roman"/>
          <w:color w:val="FF0000"/>
          <w:kern w:val="2"/>
          <w:sz w:val="24"/>
          <w:szCs w:val="24"/>
          <w:lang w:val="en-US" w:eastAsia="zh-CN" w:bidi="ar-SA"/>
        </w:rPr>
        <w:t>。取0、0.</w:t>
      </w:r>
      <w:r>
        <w:rPr>
          <w:rFonts w:hint="eastAsia" w:ascii="Times New Roman" w:hAnsi="Times New Roman" w:eastAsia="宋体" w:cs="Times New Roman"/>
          <w:color w:val="FF0000"/>
          <w:kern w:val="2"/>
          <w:sz w:val="24"/>
          <w:szCs w:val="24"/>
          <w:lang w:val="en-US" w:eastAsia="zh-CN" w:bidi="ar-SA"/>
        </w:rPr>
        <w:t>2</w:t>
      </w:r>
      <w:r>
        <w:rPr>
          <w:rFonts w:hint="default" w:ascii="Times New Roman" w:hAnsi="Times New Roman" w:eastAsia="宋体" w:cs="Times New Roman"/>
          <w:color w:val="FF0000"/>
          <w:kern w:val="2"/>
          <w:sz w:val="24"/>
          <w:szCs w:val="24"/>
          <w:lang w:val="en-US" w:eastAsia="zh-CN" w:bidi="ar-SA"/>
        </w:rPr>
        <w:t>5、</w:t>
      </w:r>
      <w:r>
        <w:rPr>
          <w:rFonts w:hint="eastAsia" w:ascii="Times New Roman" w:hAnsi="Times New Roman" w:eastAsia="宋体" w:cs="Times New Roman"/>
          <w:color w:val="FF0000"/>
          <w:kern w:val="2"/>
          <w:sz w:val="24"/>
          <w:szCs w:val="24"/>
          <w:lang w:val="en-US" w:eastAsia="zh-CN" w:bidi="ar-SA"/>
        </w:rPr>
        <w:t>0.5</w:t>
      </w:r>
      <w:r>
        <w:rPr>
          <w:rFonts w:hint="default" w:ascii="Times New Roman" w:hAnsi="Times New Roman" w:eastAsia="宋体" w:cs="Times New Roman"/>
          <w:color w:val="FF0000"/>
          <w:kern w:val="2"/>
          <w:sz w:val="24"/>
          <w:szCs w:val="24"/>
          <w:lang w:val="en-US" w:eastAsia="zh-CN" w:bidi="ar-SA"/>
        </w:rPr>
        <w:t>、</w:t>
      </w:r>
      <w:r>
        <w:rPr>
          <w:rFonts w:hint="eastAsia" w:ascii="Times New Roman" w:hAnsi="Times New Roman" w:eastAsia="宋体" w:cs="Times New Roman"/>
          <w:color w:val="FF0000"/>
          <w:kern w:val="2"/>
          <w:sz w:val="24"/>
          <w:szCs w:val="24"/>
          <w:lang w:val="en-US" w:eastAsia="zh-CN" w:bidi="ar-SA"/>
        </w:rPr>
        <w:t>0.75</w:t>
      </w:r>
      <w:r>
        <w:rPr>
          <w:rFonts w:hint="default" w:ascii="Times New Roman" w:hAnsi="Times New Roman" w:eastAsia="宋体" w:cs="Times New Roman"/>
          <w:color w:val="FF0000"/>
          <w:kern w:val="2"/>
          <w:sz w:val="24"/>
          <w:szCs w:val="24"/>
          <w:lang w:val="en-US" w:eastAsia="zh-CN" w:bidi="ar-SA"/>
        </w:rPr>
        <w:t>、</w:t>
      </w:r>
      <w:r>
        <w:rPr>
          <w:rFonts w:hint="eastAsia" w:ascii="Times New Roman" w:hAnsi="Times New Roman" w:eastAsia="宋体" w:cs="Times New Roman"/>
          <w:color w:val="FF0000"/>
          <w:kern w:val="2"/>
          <w:sz w:val="24"/>
          <w:szCs w:val="24"/>
          <w:lang w:val="en-US" w:eastAsia="zh-CN" w:bidi="ar-SA"/>
        </w:rPr>
        <w:t>1</w:t>
      </w:r>
      <w:r>
        <w:rPr>
          <w:rFonts w:hint="default" w:ascii="Times New Roman" w:hAnsi="Times New Roman" w:eastAsia="宋体" w:cs="Times New Roman"/>
          <w:color w:val="FF0000"/>
          <w:kern w:val="2"/>
          <w:sz w:val="24"/>
          <w:szCs w:val="24"/>
          <w:lang w:val="en-US" w:eastAsia="zh-CN" w:bidi="ar-SA"/>
        </w:rPr>
        <w:t>、</w:t>
      </w:r>
      <w:r>
        <w:rPr>
          <w:rFonts w:hint="eastAsia" w:ascii="Times New Roman" w:hAnsi="Times New Roman" w:eastAsia="宋体" w:cs="Times New Roman"/>
          <w:color w:val="FF0000"/>
          <w:kern w:val="2"/>
          <w:sz w:val="24"/>
          <w:szCs w:val="24"/>
          <w:lang w:val="en-US" w:eastAsia="zh-CN" w:bidi="ar-SA"/>
        </w:rPr>
        <w:t>1</w:t>
      </w:r>
      <w:r>
        <w:rPr>
          <w:rFonts w:hint="default" w:ascii="Times New Roman" w:hAnsi="Times New Roman" w:eastAsia="宋体" w:cs="Times New Roman"/>
          <w:color w:val="FF0000"/>
          <w:kern w:val="2"/>
          <w:sz w:val="24"/>
          <w:szCs w:val="24"/>
          <w:lang w:val="en-US" w:eastAsia="zh-CN" w:bidi="ar-SA"/>
        </w:rPr>
        <w:t>.5 ml浓度为1000 mg/L的</w:t>
      </w:r>
      <w:r>
        <w:rPr>
          <w:rFonts w:hint="eastAsia" w:ascii="Times New Roman" w:hAnsi="Times New Roman" w:eastAsia="宋体" w:cs="Times New Roman"/>
          <w:color w:val="FF0000"/>
          <w:kern w:val="2"/>
          <w:sz w:val="24"/>
          <w:szCs w:val="24"/>
          <w:lang w:val="en-US" w:eastAsia="zh-CN" w:bidi="ar-SA"/>
        </w:rPr>
        <w:t>NBPT</w:t>
      </w:r>
      <w:r>
        <w:rPr>
          <w:rFonts w:hint="default" w:ascii="Times New Roman" w:hAnsi="Times New Roman" w:eastAsia="宋体" w:cs="Times New Roman"/>
          <w:color w:val="FF0000"/>
          <w:kern w:val="2"/>
          <w:sz w:val="24"/>
          <w:szCs w:val="24"/>
          <w:lang w:val="en-US" w:eastAsia="zh-CN" w:bidi="ar-SA"/>
        </w:rPr>
        <w:t>标准液体，定容至50ml，获得0、</w:t>
      </w:r>
      <w:r>
        <w:rPr>
          <w:rFonts w:hint="eastAsia" w:ascii="Times New Roman" w:hAnsi="Times New Roman" w:eastAsia="宋体" w:cs="Times New Roman"/>
          <w:color w:val="FF0000"/>
          <w:kern w:val="2"/>
          <w:sz w:val="24"/>
          <w:szCs w:val="24"/>
          <w:lang w:val="en-US" w:eastAsia="zh-CN" w:bidi="ar-SA"/>
        </w:rPr>
        <w:t>5、</w:t>
      </w:r>
      <w:r>
        <w:rPr>
          <w:rFonts w:hint="default" w:ascii="Times New Roman" w:hAnsi="Times New Roman" w:eastAsia="宋体" w:cs="Times New Roman"/>
          <w:color w:val="FF0000"/>
          <w:kern w:val="2"/>
          <w:sz w:val="24"/>
          <w:szCs w:val="24"/>
          <w:lang w:val="en-US" w:eastAsia="zh-CN" w:bidi="ar-SA"/>
        </w:rPr>
        <w:t>10、</w:t>
      </w:r>
      <w:r>
        <w:rPr>
          <w:rFonts w:hint="eastAsia" w:ascii="Times New Roman" w:hAnsi="Times New Roman" w:eastAsia="宋体" w:cs="Times New Roman"/>
          <w:color w:val="FF0000"/>
          <w:kern w:val="2"/>
          <w:sz w:val="24"/>
          <w:szCs w:val="24"/>
          <w:lang w:val="en-US" w:eastAsia="zh-CN" w:bidi="ar-SA"/>
        </w:rPr>
        <w:t>15、</w:t>
      </w:r>
      <w:r>
        <w:rPr>
          <w:rFonts w:hint="default" w:ascii="Times New Roman" w:hAnsi="Times New Roman" w:eastAsia="宋体" w:cs="Times New Roman"/>
          <w:color w:val="FF0000"/>
          <w:kern w:val="2"/>
          <w:sz w:val="24"/>
          <w:szCs w:val="24"/>
          <w:lang w:val="en-US" w:eastAsia="zh-CN" w:bidi="ar-SA"/>
        </w:rPr>
        <w:t>20、30、40mg/L的标曲系列溶液。</w:t>
      </w:r>
    </w:p>
    <w:p w14:paraId="222DA3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FF0000"/>
          <w:kern w:val="2"/>
          <w:sz w:val="24"/>
          <w:szCs w:val="24"/>
          <w:lang w:val="en-US" w:eastAsia="zh-CN" w:bidi="ar-SA"/>
        </w:rPr>
      </w:pPr>
      <w:r>
        <w:rPr>
          <w:rFonts w:hint="default" w:ascii="Times New Roman" w:hAnsi="Times New Roman" w:eastAsia="宋体" w:cs="Times New Roman"/>
          <w:color w:val="FF0000"/>
          <w:kern w:val="2"/>
          <w:sz w:val="24"/>
          <w:szCs w:val="24"/>
          <w:lang w:val="en-US" w:eastAsia="zh-CN" w:bidi="ar-SA"/>
        </w:rPr>
        <w:t>（2）</w:t>
      </w:r>
      <w:r>
        <w:rPr>
          <w:rFonts w:hint="eastAsia" w:ascii="Times New Roman" w:hAnsi="Times New Roman" w:eastAsia="宋体" w:cs="Times New Roman"/>
          <w:color w:val="FF0000"/>
          <w:kern w:val="2"/>
          <w:sz w:val="24"/>
          <w:szCs w:val="24"/>
          <w:lang w:val="en-US" w:eastAsia="zh-CN" w:bidi="ar-SA"/>
        </w:rPr>
        <w:t>DMPP含量</w:t>
      </w:r>
      <w:r>
        <w:rPr>
          <w:rFonts w:hint="default" w:ascii="Times New Roman" w:hAnsi="Times New Roman" w:eastAsia="宋体" w:cs="Times New Roman"/>
          <w:color w:val="FF0000"/>
          <w:kern w:val="2"/>
          <w:sz w:val="24"/>
          <w:szCs w:val="24"/>
          <w:lang w:val="en-US" w:eastAsia="zh-CN" w:bidi="ar-SA"/>
        </w:rPr>
        <w:t>测定步骤</w:t>
      </w:r>
      <w:r>
        <w:rPr>
          <w:rFonts w:hint="eastAsia" w:ascii="Times New Roman" w:hAnsi="Times New Roman" w:eastAsia="宋体" w:cs="Times New Roman"/>
          <w:color w:val="FF0000"/>
          <w:kern w:val="2"/>
          <w:sz w:val="24"/>
          <w:szCs w:val="24"/>
          <w:lang w:val="en-US" w:eastAsia="zh-CN" w:bidi="ar-SA"/>
        </w:rPr>
        <w:t xml:space="preserve">：称取2 </w:t>
      </w:r>
      <w:r>
        <w:rPr>
          <w:rFonts w:hint="default" w:ascii="Times New Roman" w:hAnsi="Times New Roman" w:eastAsia="宋体" w:cs="Times New Roman"/>
          <w:color w:val="FF0000"/>
          <w:kern w:val="2"/>
          <w:sz w:val="24"/>
          <w:szCs w:val="24"/>
          <w:lang w:val="en-US" w:eastAsia="zh-CN" w:bidi="ar-SA"/>
        </w:rPr>
        <w:t>g</w:t>
      </w:r>
      <w:r>
        <w:rPr>
          <w:rFonts w:hint="eastAsia" w:ascii="Times New Roman" w:hAnsi="Times New Roman" w:eastAsia="宋体" w:cs="Times New Roman"/>
          <w:color w:val="FF0000"/>
          <w:kern w:val="2"/>
          <w:sz w:val="24"/>
          <w:szCs w:val="24"/>
          <w:lang w:val="en-US" w:eastAsia="zh-CN" w:bidi="ar-SA"/>
        </w:rPr>
        <w:t xml:space="preserve">肥料溶解至50 </w:t>
      </w:r>
      <w:r>
        <w:rPr>
          <w:rFonts w:hint="default" w:ascii="Times New Roman" w:hAnsi="Times New Roman" w:eastAsia="宋体" w:cs="Times New Roman"/>
          <w:color w:val="FF0000"/>
          <w:kern w:val="2"/>
          <w:sz w:val="24"/>
          <w:szCs w:val="24"/>
          <w:lang w:val="en-US" w:eastAsia="zh-CN" w:bidi="ar-SA"/>
        </w:rPr>
        <w:t>ml，</w:t>
      </w:r>
      <w:r>
        <w:rPr>
          <w:rFonts w:hint="eastAsia" w:ascii="Times New Roman" w:hAnsi="Times New Roman" w:eastAsia="宋体" w:cs="Times New Roman"/>
          <w:color w:val="FF0000"/>
          <w:kern w:val="2"/>
          <w:sz w:val="24"/>
          <w:szCs w:val="24"/>
          <w:lang w:val="en-US" w:eastAsia="zh-CN" w:bidi="ar-SA"/>
        </w:rPr>
        <w:t>之后按照NY/T 3423中的液相色谱仪方法测定</w:t>
      </w:r>
      <w:r>
        <w:rPr>
          <w:rFonts w:hint="default" w:ascii="Times New Roman" w:hAnsi="Times New Roman" w:eastAsia="宋体" w:cs="Times New Roman"/>
          <w:color w:val="FF0000"/>
          <w:kern w:val="2"/>
          <w:sz w:val="24"/>
          <w:szCs w:val="24"/>
          <w:lang w:val="en-US" w:eastAsia="zh-CN" w:bidi="ar-SA"/>
        </w:rPr>
        <w:t>。取0、0.5、1、1.5、2、2.5 ml浓度为1000 mg/L的DMPP标准液体，定容至50</w:t>
      </w:r>
      <w:r>
        <w:rPr>
          <w:rFonts w:hint="eastAsia" w:ascii="Times New Roman" w:hAnsi="Times New Roman" w:eastAsia="宋体" w:cs="Times New Roman"/>
          <w:color w:val="FF0000"/>
          <w:kern w:val="2"/>
          <w:sz w:val="24"/>
          <w:szCs w:val="24"/>
          <w:lang w:val="en-US" w:eastAsia="zh-CN" w:bidi="ar-SA"/>
        </w:rPr>
        <w:t xml:space="preserve"> </w:t>
      </w:r>
      <w:r>
        <w:rPr>
          <w:rFonts w:hint="default" w:ascii="Times New Roman" w:hAnsi="Times New Roman" w:eastAsia="宋体" w:cs="Times New Roman"/>
          <w:color w:val="FF0000"/>
          <w:kern w:val="2"/>
          <w:sz w:val="24"/>
          <w:szCs w:val="24"/>
          <w:lang w:val="en-US" w:eastAsia="zh-CN" w:bidi="ar-SA"/>
        </w:rPr>
        <w:t>ml，获得0、10、20、30、40、50 mg/L的标曲系列溶液。</w:t>
      </w:r>
    </w:p>
    <w:p w14:paraId="74BE14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FF0000"/>
          <w:kern w:val="2"/>
          <w:sz w:val="24"/>
          <w:szCs w:val="24"/>
          <w:lang w:val="en-US" w:eastAsia="zh-CN" w:bidi="ar-SA"/>
        </w:rPr>
      </w:pPr>
      <w:r>
        <w:rPr>
          <w:rFonts w:hint="default" w:ascii="Times New Roman" w:hAnsi="Times New Roman" w:eastAsia="宋体" w:cs="Times New Roman"/>
          <w:color w:val="FF0000"/>
          <w:kern w:val="2"/>
          <w:sz w:val="24"/>
          <w:szCs w:val="24"/>
          <w:lang w:val="en-US" w:eastAsia="zh-CN" w:bidi="ar-SA"/>
        </w:rPr>
        <w:t>（</w:t>
      </w:r>
      <w:r>
        <w:rPr>
          <w:rFonts w:hint="eastAsia" w:ascii="Times New Roman" w:hAnsi="Times New Roman" w:eastAsia="宋体" w:cs="Times New Roman"/>
          <w:color w:val="FF0000"/>
          <w:kern w:val="2"/>
          <w:sz w:val="24"/>
          <w:szCs w:val="24"/>
          <w:lang w:val="en-US" w:eastAsia="zh-CN" w:bidi="ar-SA"/>
        </w:rPr>
        <w:t>3</w:t>
      </w:r>
      <w:r>
        <w:rPr>
          <w:rFonts w:hint="default" w:ascii="Times New Roman" w:hAnsi="Times New Roman" w:eastAsia="宋体" w:cs="Times New Roman"/>
          <w:color w:val="FF0000"/>
          <w:kern w:val="2"/>
          <w:sz w:val="24"/>
          <w:szCs w:val="24"/>
          <w:lang w:val="en-US" w:eastAsia="zh-CN" w:bidi="ar-SA"/>
        </w:rPr>
        <w:t>）</w:t>
      </w:r>
      <w:r>
        <w:rPr>
          <w:rFonts w:hint="eastAsia" w:ascii="Times New Roman" w:hAnsi="Times New Roman" w:eastAsia="宋体" w:cs="Times New Roman"/>
          <w:color w:val="FF0000"/>
          <w:kern w:val="2"/>
          <w:sz w:val="24"/>
          <w:szCs w:val="24"/>
          <w:lang w:val="en-US" w:eastAsia="zh-CN" w:bidi="ar-SA"/>
        </w:rPr>
        <w:t>CP含量</w:t>
      </w:r>
      <w:r>
        <w:rPr>
          <w:rFonts w:hint="default" w:ascii="Times New Roman" w:hAnsi="Times New Roman" w:eastAsia="宋体" w:cs="Times New Roman"/>
          <w:color w:val="FF0000"/>
          <w:kern w:val="2"/>
          <w:sz w:val="24"/>
          <w:szCs w:val="24"/>
          <w:lang w:val="en-US" w:eastAsia="zh-CN" w:bidi="ar-SA"/>
        </w:rPr>
        <w:t>测定步骤</w:t>
      </w:r>
      <w:r>
        <w:rPr>
          <w:rFonts w:hint="eastAsia" w:ascii="Times New Roman" w:hAnsi="Times New Roman" w:eastAsia="宋体" w:cs="Times New Roman"/>
          <w:color w:val="FF0000"/>
          <w:kern w:val="2"/>
          <w:sz w:val="24"/>
          <w:szCs w:val="24"/>
          <w:lang w:val="en-US" w:eastAsia="zh-CN" w:bidi="ar-SA"/>
        </w:rPr>
        <w:t xml:space="preserve">：称取2 </w:t>
      </w:r>
      <w:r>
        <w:rPr>
          <w:rFonts w:hint="default" w:ascii="Times New Roman" w:hAnsi="Times New Roman" w:eastAsia="宋体" w:cs="Times New Roman"/>
          <w:color w:val="FF0000"/>
          <w:kern w:val="2"/>
          <w:sz w:val="24"/>
          <w:szCs w:val="24"/>
          <w:lang w:val="en-US" w:eastAsia="zh-CN" w:bidi="ar-SA"/>
        </w:rPr>
        <w:t>g</w:t>
      </w:r>
      <w:r>
        <w:rPr>
          <w:rFonts w:hint="eastAsia" w:ascii="Times New Roman" w:hAnsi="Times New Roman" w:eastAsia="宋体" w:cs="Times New Roman"/>
          <w:color w:val="FF0000"/>
          <w:kern w:val="2"/>
          <w:sz w:val="24"/>
          <w:szCs w:val="24"/>
          <w:lang w:val="en-US" w:eastAsia="zh-CN" w:bidi="ar-SA"/>
        </w:rPr>
        <w:t xml:space="preserve">肥料溶解至50 </w:t>
      </w:r>
      <w:r>
        <w:rPr>
          <w:rFonts w:hint="default" w:ascii="Times New Roman" w:hAnsi="Times New Roman" w:eastAsia="宋体" w:cs="Times New Roman"/>
          <w:color w:val="FF0000"/>
          <w:kern w:val="2"/>
          <w:sz w:val="24"/>
          <w:szCs w:val="24"/>
          <w:lang w:val="en-US" w:eastAsia="zh-CN" w:bidi="ar-SA"/>
        </w:rPr>
        <w:t>ml，</w:t>
      </w:r>
      <w:r>
        <w:rPr>
          <w:rFonts w:hint="eastAsia" w:ascii="Times New Roman" w:hAnsi="Times New Roman" w:eastAsia="宋体" w:cs="Times New Roman"/>
          <w:color w:val="FF0000"/>
          <w:kern w:val="2"/>
          <w:sz w:val="24"/>
          <w:szCs w:val="24"/>
          <w:lang w:val="en-US" w:eastAsia="zh-CN" w:bidi="ar-SA"/>
        </w:rPr>
        <w:t>之后按照NY/T 3037中的液相色谱仪方法测定</w:t>
      </w:r>
      <w:r>
        <w:rPr>
          <w:rFonts w:hint="default" w:ascii="Times New Roman" w:hAnsi="Times New Roman" w:eastAsia="宋体" w:cs="Times New Roman"/>
          <w:color w:val="FF0000"/>
          <w:kern w:val="2"/>
          <w:sz w:val="24"/>
          <w:szCs w:val="24"/>
          <w:lang w:val="en-US" w:eastAsia="zh-CN" w:bidi="ar-SA"/>
        </w:rPr>
        <w:t>。取0、</w:t>
      </w:r>
      <w:r>
        <w:rPr>
          <w:rFonts w:hint="eastAsia" w:ascii="Times New Roman" w:hAnsi="Times New Roman" w:eastAsia="宋体" w:cs="Times New Roman"/>
          <w:color w:val="FF0000"/>
          <w:kern w:val="2"/>
          <w:sz w:val="24"/>
          <w:szCs w:val="24"/>
          <w:lang w:val="en-US" w:eastAsia="zh-CN" w:bidi="ar-SA"/>
        </w:rPr>
        <w:t>0.25、</w:t>
      </w:r>
      <w:r>
        <w:rPr>
          <w:rFonts w:hint="default" w:ascii="Times New Roman" w:hAnsi="Times New Roman" w:eastAsia="宋体" w:cs="Times New Roman"/>
          <w:color w:val="FF0000"/>
          <w:kern w:val="2"/>
          <w:sz w:val="24"/>
          <w:szCs w:val="24"/>
          <w:lang w:val="en-US" w:eastAsia="zh-CN" w:bidi="ar-SA"/>
        </w:rPr>
        <w:t>0.5、</w:t>
      </w:r>
      <w:r>
        <w:rPr>
          <w:rFonts w:hint="eastAsia" w:ascii="Times New Roman" w:hAnsi="Times New Roman" w:eastAsia="宋体" w:cs="Times New Roman"/>
          <w:color w:val="FF0000"/>
          <w:kern w:val="2"/>
          <w:sz w:val="24"/>
          <w:szCs w:val="24"/>
          <w:lang w:val="en-US" w:eastAsia="zh-CN" w:bidi="ar-SA"/>
        </w:rPr>
        <w:t>0.75</w:t>
      </w:r>
      <w:r>
        <w:rPr>
          <w:rFonts w:hint="default" w:ascii="Times New Roman" w:hAnsi="Times New Roman" w:eastAsia="宋体" w:cs="Times New Roman"/>
          <w:color w:val="FF0000"/>
          <w:kern w:val="2"/>
          <w:sz w:val="24"/>
          <w:szCs w:val="24"/>
          <w:lang w:val="en-US" w:eastAsia="zh-CN" w:bidi="ar-SA"/>
        </w:rPr>
        <w:t>、</w:t>
      </w:r>
      <w:r>
        <w:rPr>
          <w:rFonts w:hint="eastAsia" w:ascii="Times New Roman" w:hAnsi="Times New Roman" w:eastAsia="宋体" w:cs="Times New Roman"/>
          <w:color w:val="FF0000"/>
          <w:kern w:val="2"/>
          <w:sz w:val="24"/>
          <w:szCs w:val="24"/>
          <w:lang w:val="en-US" w:eastAsia="zh-CN" w:bidi="ar-SA"/>
        </w:rPr>
        <w:t>1、</w:t>
      </w:r>
      <w:r>
        <w:rPr>
          <w:rFonts w:hint="default" w:ascii="Times New Roman" w:hAnsi="Times New Roman" w:eastAsia="宋体" w:cs="Times New Roman"/>
          <w:color w:val="FF0000"/>
          <w:kern w:val="2"/>
          <w:sz w:val="24"/>
          <w:szCs w:val="24"/>
          <w:lang w:val="en-US" w:eastAsia="zh-CN" w:bidi="ar-SA"/>
        </w:rPr>
        <w:t>1.5、2</w:t>
      </w:r>
      <w:r>
        <w:rPr>
          <w:rFonts w:hint="eastAsia" w:ascii="Times New Roman" w:hAnsi="Times New Roman" w:eastAsia="宋体" w:cs="Times New Roman"/>
          <w:color w:val="FF0000"/>
          <w:kern w:val="2"/>
          <w:sz w:val="24"/>
          <w:szCs w:val="24"/>
          <w:lang w:val="en-US" w:eastAsia="zh-CN" w:bidi="ar-SA"/>
        </w:rPr>
        <w:t xml:space="preserve"> </w:t>
      </w:r>
      <w:r>
        <w:rPr>
          <w:rFonts w:hint="default" w:ascii="Times New Roman" w:hAnsi="Times New Roman" w:eastAsia="宋体" w:cs="Times New Roman"/>
          <w:color w:val="FF0000"/>
          <w:kern w:val="2"/>
          <w:sz w:val="24"/>
          <w:szCs w:val="24"/>
          <w:lang w:val="en-US" w:eastAsia="zh-CN" w:bidi="ar-SA"/>
        </w:rPr>
        <w:t>ml浓度为1000 mg/L的</w:t>
      </w:r>
      <w:r>
        <w:rPr>
          <w:rFonts w:hint="eastAsia" w:ascii="Times New Roman" w:hAnsi="Times New Roman" w:eastAsia="宋体" w:cs="Times New Roman"/>
          <w:color w:val="FF0000"/>
          <w:kern w:val="2"/>
          <w:sz w:val="24"/>
          <w:szCs w:val="24"/>
          <w:lang w:val="en-US" w:eastAsia="zh-CN" w:bidi="ar-SA"/>
        </w:rPr>
        <w:t>CP</w:t>
      </w:r>
      <w:r>
        <w:rPr>
          <w:rFonts w:hint="default" w:ascii="Times New Roman" w:hAnsi="Times New Roman" w:eastAsia="宋体" w:cs="Times New Roman"/>
          <w:color w:val="FF0000"/>
          <w:kern w:val="2"/>
          <w:sz w:val="24"/>
          <w:szCs w:val="24"/>
          <w:lang w:val="en-US" w:eastAsia="zh-CN" w:bidi="ar-SA"/>
        </w:rPr>
        <w:t>标准液体，定容至50ml，获得0、</w:t>
      </w:r>
      <w:r>
        <w:rPr>
          <w:rFonts w:hint="eastAsia" w:ascii="Times New Roman" w:hAnsi="Times New Roman" w:eastAsia="宋体" w:cs="Times New Roman"/>
          <w:color w:val="FF0000"/>
          <w:kern w:val="2"/>
          <w:sz w:val="24"/>
          <w:szCs w:val="24"/>
          <w:lang w:val="en-US" w:eastAsia="zh-CN" w:bidi="ar-SA"/>
        </w:rPr>
        <w:t>5、</w:t>
      </w:r>
      <w:r>
        <w:rPr>
          <w:rFonts w:hint="default" w:ascii="Times New Roman" w:hAnsi="Times New Roman" w:eastAsia="宋体" w:cs="Times New Roman"/>
          <w:color w:val="FF0000"/>
          <w:kern w:val="2"/>
          <w:sz w:val="24"/>
          <w:szCs w:val="24"/>
          <w:lang w:val="en-US" w:eastAsia="zh-CN" w:bidi="ar-SA"/>
        </w:rPr>
        <w:t>10、</w:t>
      </w:r>
      <w:r>
        <w:rPr>
          <w:rFonts w:hint="eastAsia" w:ascii="Times New Roman" w:hAnsi="Times New Roman" w:eastAsia="宋体" w:cs="Times New Roman"/>
          <w:color w:val="FF0000"/>
          <w:kern w:val="2"/>
          <w:sz w:val="24"/>
          <w:szCs w:val="24"/>
          <w:lang w:val="en-US" w:eastAsia="zh-CN" w:bidi="ar-SA"/>
        </w:rPr>
        <w:t>15</w:t>
      </w:r>
      <w:r>
        <w:rPr>
          <w:rFonts w:hint="default" w:ascii="Times New Roman" w:hAnsi="Times New Roman" w:eastAsia="宋体" w:cs="Times New Roman"/>
          <w:color w:val="FF0000"/>
          <w:kern w:val="2"/>
          <w:sz w:val="24"/>
          <w:szCs w:val="24"/>
          <w:lang w:val="en-US" w:eastAsia="zh-CN" w:bidi="ar-SA"/>
        </w:rPr>
        <w:t>、</w:t>
      </w:r>
      <w:r>
        <w:rPr>
          <w:rFonts w:hint="eastAsia" w:ascii="Times New Roman" w:hAnsi="Times New Roman" w:eastAsia="宋体" w:cs="Times New Roman"/>
          <w:color w:val="FF0000"/>
          <w:kern w:val="2"/>
          <w:sz w:val="24"/>
          <w:szCs w:val="24"/>
          <w:lang w:val="en-US" w:eastAsia="zh-CN" w:bidi="ar-SA"/>
        </w:rPr>
        <w:t>2</w:t>
      </w:r>
      <w:r>
        <w:rPr>
          <w:rFonts w:hint="default" w:ascii="Times New Roman" w:hAnsi="Times New Roman" w:eastAsia="宋体" w:cs="Times New Roman"/>
          <w:color w:val="FF0000"/>
          <w:kern w:val="2"/>
          <w:sz w:val="24"/>
          <w:szCs w:val="24"/>
          <w:lang w:val="en-US" w:eastAsia="zh-CN" w:bidi="ar-SA"/>
        </w:rPr>
        <w:t>0、</w:t>
      </w:r>
      <w:r>
        <w:rPr>
          <w:rFonts w:hint="eastAsia" w:ascii="Times New Roman" w:hAnsi="Times New Roman" w:eastAsia="宋体" w:cs="Times New Roman"/>
          <w:color w:val="FF0000"/>
          <w:kern w:val="2"/>
          <w:sz w:val="24"/>
          <w:szCs w:val="24"/>
          <w:lang w:val="en-US" w:eastAsia="zh-CN" w:bidi="ar-SA"/>
        </w:rPr>
        <w:t>3</w:t>
      </w:r>
      <w:r>
        <w:rPr>
          <w:rFonts w:hint="default" w:ascii="Times New Roman" w:hAnsi="Times New Roman" w:eastAsia="宋体" w:cs="Times New Roman"/>
          <w:color w:val="FF0000"/>
          <w:kern w:val="2"/>
          <w:sz w:val="24"/>
          <w:szCs w:val="24"/>
          <w:lang w:val="en-US" w:eastAsia="zh-CN" w:bidi="ar-SA"/>
        </w:rPr>
        <w:t>0、</w:t>
      </w:r>
      <w:r>
        <w:rPr>
          <w:rFonts w:hint="eastAsia" w:ascii="Times New Roman" w:hAnsi="Times New Roman" w:eastAsia="宋体" w:cs="Times New Roman"/>
          <w:color w:val="FF0000"/>
          <w:kern w:val="2"/>
          <w:sz w:val="24"/>
          <w:szCs w:val="24"/>
          <w:lang w:val="en-US" w:eastAsia="zh-CN" w:bidi="ar-SA"/>
        </w:rPr>
        <w:t>4</w:t>
      </w:r>
      <w:r>
        <w:rPr>
          <w:rFonts w:hint="default" w:ascii="Times New Roman" w:hAnsi="Times New Roman" w:eastAsia="宋体" w:cs="Times New Roman"/>
          <w:color w:val="FF0000"/>
          <w:kern w:val="2"/>
          <w:sz w:val="24"/>
          <w:szCs w:val="24"/>
          <w:lang w:val="en-US" w:eastAsia="zh-CN" w:bidi="ar-SA"/>
        </w:rPr>
        <w:t>0 mg/L的标曲系列溶液。</w:t>
      </w:r>
    </w:p>
    <w:p w14:paraId="3B227095">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FF0000"/>
          <w:kern w:val="2"/>
          <w:sz w:val="24"/>
          <w:szCs w:val="24"/>
          <w:lang w:val="en-US" w:eastAsia="zh-CN" w:bidi="ar-SA"/>
        </w:rPr>
      </w:pPr>
      <w:r>
        <w:rPr>
          <w:rFonts w:hint="eastAsia" w:ascii="Times New Roman" w:hAnsi="Times New Roman" w:eastAsia="宋体" w:cs="Times New Roman"/>
          <w:color w:val="FF0000"/>
          <w:kern w:val="2"/>
          <w:sz w:val="24"/>
          <w:szCs w:val="24"/>
          <w:lang w:val="en-US" w:eastAsia="zh-CN" w:bidi="ar-SA"/>
        </w:rPr>
        <w:t>7</w:t>
      </w:r>
      <w:r>
        <w:rPr>
          <w:rFonts w:hint="default" w:ascii="Times New Roman" w:hAnsi="Times New Roman" w:eastAsia="宋体" w:cs="Times New Roman"/>
          <w:color w:val="FF0000"/>
          <w:kern w:val="2"/>
          <w:sz w:val="24"/>
          <w:szCs w:val="24"/>
          <w:lang w:val="en-US" w:eastAsia="zh-CN" w:bidi="ar-SA"/>
        </w:rPr>
        <w:t>.</w:t>
      </w:r>
      <w:r>
        <w:rPr>
          <w:rFonts w:hint="eastAsia" w:ascii="Times New Roman" w:hAnsi="Times New Roman" w:eastAsia="宋体" w:cs="Times New Roman"/>
          <w:color w:val="FF0000"/>
          <w:kern w:val="2"/>
          <w:sz w:val="24"/>
          <w:szCs w:val="24"/>
          <w:lang w:val="en-US" w:eastAsia="zh-CN" w:bidi="ar-SA"/>
        </w:rPr>
        <w:t>1.</w:t>
      </w:r>
      <w:r>
        <w:rPr>
          <w:rFonts w:hint="default" w:ascii="Times New Roman" w:hAnsi="Times New Roman" w:eastAsia="宋体" w:cs="Times New Roman"/>
          <w:color w:val="FF0000"/>
          <w:kern w:val="2"/>
          <w:sz w:val="24"/>
          <w:szCs w:val="24"/>
          <w:lang w:val="en-US" w:eastAsia="zh-CN" w:bidi="ar-SA"/>
        </w:rPr>
        <w:t>2 测试结果</w:t>
      </w:r>
    </w:p>
    <w:p w14:paraId="12950BF6">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FF0000"/>
          <w:kern w:val="2"/>
          <w:sz w:val="24"/>
          <w:szCs w:val="24"/>
          <w:lang w:val="en-US" w:eastAsia="zh-CN" w:bidi="ar-SA"/>
        </w:rPr>
      </w:pPr>
      <w:r>
        <w:rPr>
          <w:rFonts w:hint="eastAsia" w:ascii="Times New Roman" w:hAnsi="Times New Roman" w:eastAsia="宋体" w:cs="Times New Roman"/>
          <w:color w:val="FF0000"/>
          <w:kern w:val="2"/>
          <w:sz w:val="24"/>
          <w:szCs w:val="24"/>
          <w:lang w:val="en-US" w:eastAsia="zh-CN" w:bidi="ar-SA"/>
        </w:rPr>
        <w:t>45</w:t>
      </w:r>
      <w:r>
        <w:rPr>
          <w:rFonts w:hint="default" w:ascii="Times New Roman" w:hAnsi="Times New Roman" w:eastAsia="宋体" w:cs="Times New Roman"/>
          <w:color w:val="FF0000"/>
          <w:kern w:val="2"/>
          <w:sz w:val="24"/>
          <w:szCs w:val="24"/>
          <w:lang w:val="en-US" w:eastAsia="zh-CN" w:bidi="ar-SA"/>
        </w:rPr>
        <w:t>个稳定性肥料样品</w:t>
      </w:r>
      <w:r>
        <w:rPr>
          <w:rFonts w:hint="eastAsia" w:ascii="Times New Roman" w:hAnsi="Times New Roman" w:eastAsia="宋体" w:cs="Times New Roman"/>
          <w:color w:val="FF0000"/>
          <w:kern w:val="2"/>
          <w:sz w:val="24"/>
          <w:szCs w:val="24"/>
          <w:lang w:val="en-US" w:eastAsia="zh-CN" w:bidi="ar-SA"/>
        </w:rPr>
        <w:t>中，只有32个肥料成品，另外13个样品为对应肥料同组份的原料混合物。</w:t>
      </w:r>
    </w:p>
    <w:p w14:paraId="75C4CE6D">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FF0000"/>
          <w:kern w:val="2"/>
          <w:sz w:val="24"/>
          <w:szCs w:val="24"/>
          <w:lang w:val="en-US" w:eastAsia="zh-CN" w:bidi="ar-SA"/>
        </w:rPr>
      </w:pPr>
      <w:r>
        <w:rPr>
          <w:rFonts w:hint="eastAsia" w:ascii="Times New Roman" w:hAnsi="Times New Roman" w:eastAsia="宋体" w:cs="Times New Roman"/>
          <w:color w:val="FF0000"/>
          <w:kern w:val="2"/>
          <w:sz w:val="24"/>
          <w:szCs w:val="24"/>
          <w:lang w:val="en-US" w:eastAsia="zh-CN" w:bidi="ar-SA"/>
        </w:rPr>
        <w:t>32个肥料成品样品中只有6个样品测定出了NBPT含量，其中1个样品的含量为0.1974‰，剩余样品NBPT含量</w:t>
      </w:r>
      <w:r>
        <w:rPr>
          <w:rFonts w:hint="default" w:ascii="Times New Roman" w:hAnsi="Times New Roman" w:eastAsia="宋体" w:cs="Times New Roman"/>
          <w:color w:val="FF0000"/>
          <w:kern w:val="2"/>
          <w:sz w:val="24"/>
          <w:szCs w:val="24"/>
          <w:lang w:val="en-US" w:eastAsia="zh-CN" w:bidi="ar-SA"/>
        </w:rPr>
        <w:t>在0.</w:t>
      </w:r>
      <w:r>
        <w:rPr>
          <w:rFonts w:hint="eastAsia" w:ascii="Times New Roman" w:hAnsi="Times New Roman" w:eastAsia="宋体" w:cs="Times New Roman"/>
          <w:color w:val="FF0000"/>
          <w:kern w:val="2"/>
          <w:sz w:val="24"/>
          <w:szCs w:val="24"/>
          <w:lang w:val="en-US" w:eastAsia="zh-CN" w:bidi="ar-SA"/>
        </w:rPr>
        <w:t>024‰</w:t>
      </w:r>
      <w:r>
        <w:rPr>
          <w:rFonts w:hint="default" w:ascii="Times New Roman" w:hAnsi="Times New Roman" w:eastAsia="宋体" w:cs="Times New Roman"/>
          <w:color w:val="FF0000"/>
          <w:kern w:val="2"/>
          <w:sz w:val="24"/>
          <w:szCs w:val="24"/>
          <w:lang w:val="en-US" w:eastAsia="zh-CN" w:bidi="ar-SA"/>
        </w:rPr>
        <w:t>-</w:t>
      </w:r>
      <w:r>
        <w:rPr>
          <w:rFonts w:hint="eastAsia" w:ascii="Times New Roman" w:hAnsi="Times New Roman" w:eastAsia="宋体" w:cs="Times New Roman"/>
          <w:color w:val="FF0000"/>
          <w:kern w:val="2"/>
          <w:sz w:val="24"/>
          <w:szCs w:val="24"/>
          <w:lang w:val="en-US" w:eastAsia="zh-CN" w:bidi="ar-SA"/>
        </w:rPr>
        <w:t>0.956‰</w:t>
      </w:r>
      <w:r>
        <w:rPr>
          <w:rFonts w:hint="default" w:ascii="Times New Roman" w:hAnsi="Times New Roman" w:eastAsia="宋体" w:cs="Times New Roman"/>
          <w:color w:val="FF0000"/>
          <w:kern w:val="2"/>
          <w:sz w:val="24"/>
          <w:szCs w:val="24"/>
          <w:lang w:val="en-US" w:eastAsia="zh-CN" w:bidi="ar-SA"/>
        </w:rPr>
        <w:t>之间变化</w:t>
      </w:r>
      <w:r>
        <w:rPr>
          <w:rFonts w:hint="eastAsia" w:ascii="Times New Roman" w:hAnsi="Times New Roman" w:eastAsia="宋体" w:cs="Times New Roman"/>
          <w:color w:val="FF0000"/>
          <w:kern w:val="2"/>
          <w:sz w:val="24"/>
          <w:szCs w:val="24"/>
          <w:lang w:val="en-US" w:eastAsia="zh-CN" w:bidi="ar-SA"/>
        </w:rPr>
        <w:t>，其中5个肥料样品的NBPT添加方式为外喷涂法，因而对NBPT存在形态的影响较小；13个原料样品中有5个样品测定出了NBPT含量，NBPT含量</w:t>
      </w:r>
      <w:r>
        <w:rPr>
          <w:rFonts w:hint="default" w:ascii="Times New Roman" w:hAnsi="Times New Roman" w:eastAsia="宋体" w:cs="Times New Roman"/>
          <w:color w:val="FF0000"/>
          <w:kern w:val="2"/>
          <w:sz w:val="24"/>
          <w:szCs w:val="24"/>
          <w:lang w:val="en-US" w:eastAsia="zh-CN" w:bidi="ar-SA"/>
        </w:rPr>
        <w:t>在0.</w:t>
      </w:r>
      <w:r>
        <w:rPr>
          <w:rFonts w:hint="eastAsia" w:ascii="Times New Roman" w:hAnsi="Times New Roman" w:eastAsia="宋体" w:cs="Times New Roman"/>
          <w:color w:val="FF0000"/>
          <w:kern w:val="2"/>
          <w:sz w:val="24"/>
          <w:szCs w:val="24"/>
          <w:lang w:val="en-US" w:eastAsia="zh-CN" w:bidi="ar-SA"/>
        </w:rPr>
        <w:t>0154</w:t>
      </w:r>
      <w:r>
        <w:rPr>
          <w:rFonts w:hint="eastAsia" w:ascii="Times New Roman" w:hAnsi="Times New Roman" w:eastAsia="宋体" w:cs="Times New Roman"/>
          <w:i w:val="0"/>
          <w:iCs w:val="0"/>
          <w:color w:val="FF0000"/>
          <w:kern w:val="0"/>
          <w:sz w:val="21"/>
          <w:szCs w:val="21"/>
          <w:u w:val="none"/>
          <w:lang w:val="en-US" w:eastAsia="zh-CN" w:bidi="ar"/>
        </w:rPr>
        <w:t>‰</w:t>
      </w:r>
      <w:r>
        <w:rPr>
          <w:rFonts w:hint="default" w:ascii="Times New Roman" w:hAnsi="Times New Roman" w:eastAsia="宋体" w:cs="Times New Roman"/>
          <w:color w:val="FF0000"/>
          <w:kern w:val="2"/>
          <w:sz w:val="24"/>
          <w:szCs w:val="24"/>
          <w:lang w:val="en-US" w:eastAsia="zh-CN" w:bidi="ar-SA"/>
        </w:rPr>
        <w:t>-</w:t>
      </w:r>
      <w:r>
        <w:rPr>
          <w:rFonts w:hint="eastAsia" w:ascii="Times New Roman" w:hAnsi="Times New Roman" w:eastAsia="宋体" w:cs="Times New Roman"/>
          <w:color w:val="FF0000"/>
          <w:kern w:val="2"/>
          <w:sz w:val="24"/>
          <w:szCs w:val="24"/>
          <w:lang w:val="en-US" w:eastAsia="zh-CN" w:bidi="ar-SA"/>
        </w:rPr>
        <w:t>0.0369</w:t>
      </w:r>
      <w:r>
        <w:rPr>
          <w:rFonts w:hint="eastAsia" w:ascii="Times New Roman" w:hAnsi="Times New Roman" w:eastAsia="宋体" w:cs="Times New Roman"/>
          <w:i w:val="0"/>
          <w:iCs w:val="0"/>
          <w:color w:val="FF0000"/>
          <w:kern w:val="0"/>
          <w:sz w:val="21"/>
          <w:szCs w:val="21"/>
          <w:u w:val="none"/>
          <w:lang w:val="en-US" w:eastAsia="zh-CN" w:bidi="ar"/>
        </w:rPr>
        <w:t>‰</w:t>
      </w:r>
      <w:r>
        <w:rPr>
          <w:rFonts w:hint="default" w:ascii="Times New Roman" w:hAnsi="Times New Roman" w:eastAsia="宋体" w:cs="Times New Roman"/>
          <w:color w:val="FF0000"/>
          <w:kern w:val="2"/>
          <w:sz w:val="24"/>
          <w:szCs w:val="24"/>
          <w:lang w:val="en-US" w:eastAsia="zh-CN" w:bidi="ar-SA"/>
        </w:rPr>
        <w:t>之间变化</w:t>
      </w:r>
      <w:r>
        <w:rPr>
          <w:rFonts w:hint="eastAsia" w:ascii="Times New Roman" w:hAnsi="Times New Roman" w:eastAsia="宋体" w:cs="Times New Roman"/>
          <w:color w:val="FF0000"/>
          <w:kern w:val="2"/>
          <w:sz w:val="24"/>
          <w:szCs w:val="24"/>
          <w:lang w:val="en-US" w:eastAsia="zh-CN" w:bidi="ar-SA"/>
        </w:rPr>
        <w:t>，这5个原料样品对应的成品NBPT含量均未测定出来，说明</w:t>
      </w:r>
      <w:r>
        <w:rPr>
          <w:rFonts w:hint="eastAsia" w:ascii="Times New Roman" w:hAnsi="Times New Roman" w:eastAsia="宋体" w:cs="Times New Roman"/>
          <w:b/>
          <w:bCs/>
          <w:color w:val="FF0000"/>
          <w:kern w:val="2"/>
          <w:sz w:val="24"/>
          <w:szCs w:val="24"/>
          <w:lang w:val="en-US" w:eastAsia="zh-CN" w:bidi="ar-SA"/>
        </w:rPr>
        <w:t>滚筒、高塔 高温以及生成过程中的化学反应能改变NBPT在肥料中的赋存形态，仅外涂法能保证NBPT的化学结构不发生改变。</w:t>
      </w:r>
    </w:p>
    <w:p w14:paraId="7BF670E7">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FF0000"/>
          <w:kern w:val="2"/>
          <w:sz w:val="24"/>
          <w:szCs w:val="24"/>
          <w:lang w:val="en-US" w:eastAsia="zh-CN" w:bidi="ar-SA"/>
        </w:rPr>
      </w:pPr>
      <w:r>
        <w:rPr>
          <w:rFonts w:hint="eastAsia" w:ascii="Times New Roman" w:hAnsi="Times New Roman" w:eastAsia="宋体" w:cs="Times New Roman"/>
          <w:color w:val="FF0000"/>
          <w:kern w:val="2"/>
          <w:sz w:val="24"/>
          <w:szCs w:val="24"/>
          <w:lang w:val="en-US" w:eastAsia="zh-CN" w:bidi="ar-SA"/>
        </w:rPr>
        <w:t>32个肥料成品样品中只有18个样品测定出了DMPP含量，其中1个样品的含量为0.3003‰，剩余样品DMPP含量</w:t>
      </w:r>
      <w:r>
        <w:rPr>
          <w:rFonts w:hint="default" w:ascii="Times New Roman" w:hAnsi="Times New Roman" w:eastAsia="宋体" w:cs="Times New Roman"/>
          <w:color w:val="FF0000"/>
          <w:kern w:val="2"/>
          <w:sz w:val="24"/>
          <w:szCs w:val="24"/>
          <w:lang w:val="en-US" w:eastAsia="zh-CN" w:bidi="ar-SA"/>
        </w:rPr>
        <w:t>在</w:t>
      </w:r>
      <w:r>
        <w:rPr>
          <w:rFonts w:hint="eastAsia" w:ascii="Times New Roman" w:hAnsi="Times New Roman" w:eastAsia="宋体" w:cs="Times New Roman"/>
          <w:b/>
          <w:bCs/>
          <w:color w:val="FF0000"/>
          <w:kern w:val="2"/>
          <w:sz w:val="24"/>
          <w:szCs w:val="24"/>
          <w:lang w:val="en-US" w:eastAsia="zh-CN" w:bidi="ar-SA"/>
        </w:rPr>
        <w:t>0.0080</w:t>
      </w:r>
      <w:r>
        <w:rPr>
          <w:rFonts w:hint="eastAsia" w:ascii="Times New Roman" w:hAnsi="Times New Roman" w:eastAsia="宋体" w:cs="Times New Roman"/>
          <w:b/>
          <w:bCs/>
          <w:i w:val="0"/>
          <w:iCs w:val="0"/>
          <w:color w:val="FF0000"/>
          <w:kern w:val="0"/>
          <w:sz w:val="21"/>
          <w:szCs w:val="21"/>
          <w:u w:val="none"/>
          <w:lang w:val="en-US" w:eastAsia="zh-CN" w:bidi="ar"/>
        </w:rPr>
        <w:t>‰</w:t>
      </w:r>
      <w:r>
        <w:rPr>
          <w:rFonts w:hint="default" w:ascii="Times New Roman" w:hAnsi="Times New Roman" w:eastAsia="宋体" w:cs="Times New Roman"/>
          <w:b/>
          <w:bCs/>
          <w:color w:val="FF0000"/>
          <w:kern w:val="2"/>
          <w:sz w:val="24"/>
          <w:szCs w:val="24"/>
          <w:lang w:val="en-US" w:eastAsia="zh-CN" w:bidi="ar-SA"/>
        </w:rPr>
        <w:t>-</w:t>
      </w:r>
      <w:r>
        <w:rPr>
          <w:rFonts w:hint="eastAsia" w:ascii="Times New Roman" w:hAnsi="Times New Roman" w:eastAsia="宋体" w:cs="Times New Roman"/>
          <w:b/>
          <w:bCs/>
          <w:color w:val="FF0000"/>
          <w:kern w:val="2"/>
          <w:sz w:val="24"/>
          <w:szCs w:val="24"/>
          <w:lang w:val="en-US" w:eastAsia="zh-CN" w:bidi="ar-SA"/>
        </w:rPr>
        <w:t>0.0763</w:t>
      </w:r>
      <w:r>
        <w:rPr>
          <w:rFonts w:hint="eastAsia" w:ascii="Times New Roman" w:hAnsi="Times New Roman" w:eastAsia="宋体" w:cs="Times New Roman"/>
          <w:b/>
          <w:bCs/>
          <w:i w:val="0"/>
          <w:iCs w:val="0"/>
          <w:color w:val="FF0000"/>
          <w:kern w:val="0"/>
          <w:sz w:val="21"/>
          <w:szCs w:val="21"/>
          <w:u w:val="none"/>
          <w:lang w:val="en-US" w:eastAsia="zh-CN" w:bidi="ar"/>
        </w:rPr>
        <w:t>‰</w:t>
      </w:r>
      <w:r>
        <w:rPr>
          <w:rFonts w:hint="default" w:ascii="Times New Roman" w:hAnsi="Times New Roman" w:eastAsia="宋体" w:cs="Times New Roman"/>
          <w:color w:val="FF0000"/>
          <w:kern w:val="2"/>
          <w:sz w:val="24"/>
          <w:szCs w:val="24"/>
          <w:lang w:val="en-US" w:eastAsia="zh-CN" w:bidi="ar-SA"/>
        </w:rPr>
        <w:t>之间变化</w:t>
      </w:r>
      <w:r>
        <w:rPr>
          <w:rFonts w:hint="eastAsia" w:ascii="Times New Roman" w:hAnsi="Times New Roman" w:eastAsia="宋体" w:cs="Times New Roman"/>
          <w:color w:val="FF0000"/>
          <w:kern w:val="2"/>
          <w:sz w:val="24"/>
          <w:szCs w:val="24"/>
          <w:lang w:val="en-US" w:eastAsia="zh-CN" w:bidi="ar-SA"/>
        </w:rPr>
        <w:t>；13个原料样品中有8个样品测定出了DMPP含量，</w:t>
      </w:r>
      <w:r>
        <w:rPr>
          <w:rFonts w:hint="default" w:ascii="Times New Roman" w:hAnsi="Times New Roman" w:eastAsia="宋体" w:cs="Times New Roman"/>
          <w:color w:val="FF0000"/>
          <w:kern w:val="2"/>
          <w:sz w:val="24"/>
          <w:szCs w:val="24"/>
          <w:lang w:val="en-US" w:eastAsia="zh-CN" w:bidi="ar-SA"/>
        </w:rPr>
        <w:t>在0.</w:t>
      </w:r>
      <w:r>
        <w:rPr>
          <w:rFonts w:hint="eastAsia" w:ascii="Times New Roman" w:hAnsi="Times New Roman" w:eastAsia="宋体" w:cs="Times New Roman"/>
          <w:color w:val="FF0000"/>
          <w:kern w:val="2"/>
          <w:sz w:val="24"/>
          <w:szCs w:val="24"/>
          <w:lang w:val="en-US" w:eastAsia="zh-CN" w:bidi="ar-SA"/>
        </w:rPr>
        <w:t>0070</w:t>
      </w:r>
      <w:r>
        <w:rPr>
          <w:rFonts w:hint="eastAsia" w:ascii="Times New Roman" w:hAnsi="Times New Roman" w:eastAsia="宋体" w:cs="Times New Roman"/>
          <w:i w:val="0"/>
          <w:iCs w:val="0"/>
          <w:color w:val="FF0000"/>
          <w:kern w:val="0"/>
          <w:sz w:val="21"/>
          <w:szCs w:val="21"/>
          <w:u w:val="none"/>
          <w:lang w:val="en-US" w:eastAsia="zh-CN" w:bidi="ar"/>
        </w:rPr>
        <w:t>‰</w:t>
      </w:r>
      <w:r>
        <w:rPr>
          <w:rFonts w:hint="default" w:ascii="Times New Roman" w:hAnsi="Times New Roman" w:eastAsia="宋体" w:cs="Times New Roman"/>
          <w:color w:val="FF0000"/>
          <w:kern w:val="2"/>
          <w:sz w:val="24"/>
          <w:szCs w:val="24"/>
          <w:lang w:val="en-US" w:eastAsia="zh-CN" w:bidi="ar-SA"/>
        </w:rPr>
        <w:t>-</w:t>
      </w:r>
      <w:r>
        <w:rPr>
          <w:rFonts w:hint="eastAsia" w:ascii="Times New Roman" w:hAnsi="Times New Roman" w:eastAsia="宋体" w:cs="Times New Roman"/>
          <w:color w:val="FF0000"/>
          <w:kern w:val="2"/>
          <w:sz w:val="24"/>
          <w:szCs w:val="24"/>
          <w:lang w:val="en-US" w:eastAsia="zh-CN" w:bidi="ar-SA"/>
        </w:rPr>
        <w:t>0.0157</w:t>
      </w:r>
      <w:r>
        <w:rPr>
          <w:rFonts w:hint="eastAsia" w:ascii="Times New Roman" w:hAnsi="Times New Roman" w:eastAsia="宋体" w:cs="Times New Roman"/>
          <w:i w:val="0"/>
          <w:iCs w:val="0"/>
          <w:color w:val="FF0000"/>
          <w:kern w:val="0"/>
          <w:sz w:val="21"/>
          <w:szCs w:val="21"/>
          <w:u w:val="none"/>
          <w:lang w:val="en-US" w:eastAsia="zh-CN" w:bidi="ar"/>
        </w:rPr>
        <w:t>‰</w:t>
      </w:r>
      <w:r>
        <w:rPr>
          <w:rFonts w:hint="default" w:ascii="Times New Roman" w:hAnsi="Times New Roman" w:eastAsia="宋体" w:cs="Times New Roman"/>
          <w:color w:val="FF0000"/>
          <w:kern w:val="2"/>
          <w:sz w:val="24"/>
          <w:szCs w:val="24"/>
          <w:lang w:val="en-US" w:eastAsia="zh-CN" w:bidi="ar-SA"/>
        </w:rPr>
        <w:t>之间变化</w:t>
      </w:r>
      <w:r>
        <w:rPr>
          <w:rFonts w:hint="eastAsia" w:ascii="Times New Roman" w:hAnsi="Times New Roman" w:eastAsia="宋体" w:cs="Times New Roman"/>
          <w:color w:val="FF0000"/>
          <w:kern w:val="2"/>
          <w:sz w:val="24"/>
          <w:szCs w:val="24"/>
          <w:lang w:val="en-US" w:eastAsia="zh-CN" w:bidi="ar-SA"/>
        </w:rPr>
        <w:t>，这8个原料样品对应的成品中有3个样品未测定出DMPP含量，说明生产线高温以及生成过程中的化学反应对DMPP在肥料中的赋存形态有重要影响。</w:t>
      </w:r>
    </w:p>
    <w:p w14:paraId="0008AA3B">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FF0000"/>
          <w:kern w:val="2"/>
          <w:sz w:val="24"/>
          <w:szCs w:val="24"/>
          <w:lang w:val="en-US" w:eastAsia="zh-CN" w:bidi="ar-SA"/>
        </w:rPr>
      </w:pPr>
      <w:r>
        <w:rPr>
          <w:rFonts w:hint="eastAsia" w:ascii="Times New Roman" w:hAnsi="Times New Roman" w:eastAsia="宋体" w:cs="Times New Roman"/>
          <w:color w:val="FF0000"/>
          <w:kern w:val="2"/>
          <w:sz w:val="24"/>
          <w:szCs w:val="24"/>
          <w:lang w:val="en-US" w:eastAsia="zh-CN" w:bidi="ar-SA"/>
        </w:rPr>
        <w:t>45</w:t>
      </w:r>
      <w:r>
        <w:rPr>
          <w:rFonts w:hint="default" w:ascii="Times New Roman" w:hAnsi="Times New Roman" w:eastAsia="宋体" w:cs="Times New Roman"/>
          <w:color w:val="FF0000"/>
          <w:kern w:val="2"/>
          <w:sz w:val="24"/>
          <w:szCs w:val="24"/>
          <w:lang w:val="en-US" w:eastAsia="zh-CN" w:bidi="ar-SA"/>
        </w:rPr>
        <w:t>个稳定性肥料样品</w:t>
      </w:r>
      <w:r>
        <w:rPr>
          <w:rFonts w:hint="eastAsia" w:ascii="Times New Roman" w:hAnsi="Times New Roman" w:eastAsia="宋体" w:cs="Times New Roman"/>
          <w:color w:val="FF0000"/>
          <w:kern w:val="2"/>
          <w:sz w:val="24"/>
          <w:szCs w:val="24"/>
          <w:lang w:val="en-US" w:eastAsia="zh-CN" w:bidi="ar-SA"/>
        </w:rPr>
        <w:t>中，只有3个样品中添加了CP，CP含量分别为0.0037</w:t>
      </w:r>
      <w:r>
        <w:rPr>
          <w:rFonts w:hint="eastAsia" w:ascii="Times New Roman" w:hAnsi="Times New Roman" w:eastAsia="宋体" w:cs="Times New Roman"/>
          <w:i w:val="0"/>
          <w:iCs w:val="0"/>
          <w:color w:val="FF0000"/>
          <w:kern w:val="0"/>
          <w:sz w:val="21"/>
          <w:szCs w:val="21"/>
          <w:u w:val="none"/>
          <w:lang w:val="en-US" w:eastAsia="zh-CN" w:bidi="ar"/>
        </w:rPr>
        <w:t>‰</w:t>
      </w:r>
      <w:r>
        <w:rPr>
          <w:rFonts w:hint="eastAsia" w:ascii="Times New Roman" w:hAnsi="Times New Roman" w:eastAsia="宋体" w:cs="Times New Roman"/>
          <w:color w:val="FF0000"/>
          <w:kern w:val="2"/>
          <w:sz w:val="24"/>
          <w:szCs w:val="24"/>
          <w:lang w:val="en-US" w:eastAsia="zh-CN" w:bidi="ar-SA"/>
        </w:rPr>
        <w:t>、0.0003</w:t>
      </w:r>
      <w:r>
        <w:rPr>
          <w:rFonts w:hint="eastAsia" w:ascii="Times New Roman" w:hAnsi="Times New Roman" w:eastAsia="宋体" w:cs="Times New Roman"/>
          <w:i w:val="0"/>
          <w:iCs w:val="0"/>
          <w:color w:val="FF0000"/>
          <w:kern w:val="0"/>
          <w:sz w:val="21"/>
          <w:szCs w:val="21"/>
          <w:u w:val="none"/>
          <w:lang w:val="en-US" w:eastAsia="zh-CN" w:bidi="ar"/>
        </w:rPr>
        <w:t>‰</w:t>
      </w:r>
      <w:r>
        <w:rPr>
          <w:rFonts w:hint="eastAsia" w:ascii="Times New Roman" w:hAnsi="Times New Roman" w:eastAsia="宋体" w:cs="Times New Roman"/>
          <w:color w:val="FF0000"/>
          <w:kern w:val="2"/>
          <w:sz w:val="24"/>
          <w:szCs w:val="24"/>
          <w:lang w:val="en-US" w:eastAsia="zh-CN" w:bidi="ar-SA"/>
        </w:rPr>
        <w:t>、0.0020</w:t>
      </w:r>
      <w:r>
        <w:rPr>
          <w:rFonts w:hint="eastAsia" w:ascii="Times New Roman" w:hAnsi="Times New Roman" w:eastAsia="宋体" w:cs="Times New Roman"/>
          <w:i w:val="0"/>
          <w:iCs w:val="0"/>
          <w:color w:val="FF0000"/>
          <w:kern w:val="0"/>
          <w:sz w:val="21"/>
          <w:szCs w:val="21"/>
          <w:u w:val="none"/>
          <w:lang w:val="en-US" w:eastAsia="zh-CN" w:bidi="ar"/>
        </w:rPr>
        <w:t>‰</w:t>
      </w:r>
      <w:r>
        <w:rPr>
          <w:rFonts w:hint="eastAsia" w:ascii="Times New Roman" w:hAnsi="Times New Roman" w:eastAsia="宋体" w:cs="Times New Roman"/>
          <w:color w:val="FF0000"/>
          <w:kern w:val="2"/>
          <w:sz w:val="24"/>
          <w:szCs w:val="24"/>
          <w:lang w:val="en-US" w:eastAsia="zh-CN" w:bidi="ar-SA"/>
        </w:rPr>
        <w:t>。</w:t>
      </w:r>
    </w:p>
    <w:p w14:paraId="5E4DE093">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b/>
          <w:bCs/>
          <w:szCs w:val="21"/>
          <w:lang w:val="en-US" w:eastAsia="zh-CN"/>
        </w:rPr>
      </w:pPr>
      <w:r>
        <w:rPr>
          <w:rFonts w:hint="eastAsia" w:ascii="Times New Roman" w:hAnsi="Times New Roman" w:eastAsia="宋体" w:cs="Times New Roman"/>
          <w:b/>
          <w:bCs/>
          <w:szCs w:val="21"/>
          <w:lang w:val="en-US" w:eastAsia="zh-CN"/>
        </w:rPr>
        <w:t>表19 稳定性肥料中的</w:t>
      </w:r>
      <w:r>
        <w:rPr>
          <w:rFonts w:hint="default" w:ascii="Times New Roman" w:hAnsi="Times New Roman" w:eastAsia="宋体" w:cs="Times New Roman"/>
          <w:b/>
          <w:bCs w:val="0"/>
          <w:sz w:val="24"/>
          <w:szCs w:val="24"/>
          <w:lang w:val="en-US" w:eastAsia="zh-CN"/>
        </w:rPr>
        <w:t>NBPT</w:t>
      </w:r>
      <w:r>
        <w:rPr>
          <w:rFonts w:hint="eastAsia" w:ascii="Times New Roman" w:hAnsi="Times New Roman" w:eastAsia="宋体" w:cs="Times New Roman"/>
          <w:b/>
          <w:bCs w:val="0"/>
          <w:sz w:val="24"/>
          <w:szCs w:val="24"/>
          <w:lang w:val="en-US" w:eastAsia="zh-CN"/>
        </w:rPr>
        <w:t>、DMPP、CP</w:t>
      </w:r>
      <w:r>
        <w:rPr>
          <w:rFonts w:hint="eastAsia" w:ascii="Times New Roman" w:hAnsi="Times New Roman" w:eastAsia="宋体" w:cs="Times New Roman"/>
          <w:b/>
          <w:bCs/>
          <w:szCs w:val="21"/>
          <w:lang w:val="en-US" w:eastAsia="zh-CN"/>
        </w:rPr>
        <w:t>含量</w:t>
      </w:r>
    </w:p>
    <w:tbl>
      <w:tblPr>
        <w:tblStyle w:val="3"/>
        <w:tblpPr w:leftFromText="180" w:rightFromText="180" w:vertAnchor="text" w:horzAnchor="page" w:tblpX="1800" w:tblpY="455"/>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1496"/>
        <w:gridCol w:w="1496"/>
        <w:gridCol w:w="1619"/>
        <w:gridCol w:w="999"/>
        <w:gridCol w:w="970"/>
        <w:gridCol w:w="938"/>
      </w:tblGrid>
      <w:tr w14:paraId="0961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86" w:type="pct"/>
            <w:shd w:val="clear" w:color="auto" w:fill="auto"/>
            <w:vAlign w:val="center"/>
          </w:tcPr>
          <w:p w14:paraId="5DFA9CCD">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p>
        </w:tc>
        <w:tc>
          <w:tcPr>
            <w:tcW w:w="878" w:type="pct"/>
            <w:shd w:val="clear" w:color="auto" w:fill="auto"/>
            <w:vAlign w:val="center"/>
          </w:tcPr>
          <w:p w14:paraId="15CEEC1C">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Style w:val="14"/>
                <w:sz w:val="21"/>
                <w:szCs w:val="21"/>
                <w:lang w:val="en-US" w:eastAsia="zh-CN" w:bidi="ar"/>
              </w:rPr>
              <w:t>厂家</w:t>
            </w:r>
          </w:p>
        </w:tc>
        <w:tc>
          <w:tcPr>
            <w:tcW w:w="878" w:type="pct"/>
            <w:shd w:val="clear" w:color="auto" w:fill="auto"/>
            <w:vAlign w:val="center"/>
          </w:tcPr>
          <w:p w14:paraId="3B8FA014">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
              </w:rPr>
            </w:pPr>
            <w:r>
              <w:rPr>
                <w:rStyle w:val="14"/>
                <w:sz w:val="21"/>
                <w:szCs w:val="21"/>
                <w:lang w:val="en-US" w:eastAsia="zh-CN" w:bidi="ar"/>
              </w:rPr>
              <w:t>配方</w:t>
            </w:r>
          </w:p>
        </w:tc>
        <w:tc>
          <w:tcPr>
            <w:tcW w:w="950" w:type="pct"/>
            <w:shd w:val="clear" w:color="auto" w:fill="auto"/>
            <w:vAlign w:val="center"/>
          </w:tcPr>
          <w:p w14:paraId="3CD41972">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备注</w:t>
            </w:r>
          </w:p>
        </w:tc>
        <w:tc>
          <w:tcPr>
            <w:tcW w:w="586" w:type="pct"/>
            <w:shd w:val="clear" w:color="auto" w:fill="auto"/>
            <w:vAlign w:val="center"/>
          </w:tcPr>
          <w:p w14:paraId="402D7E89">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NBPT</w:t>
            </w:r>
          </w:p>
          <w:p w14:paraId="577C890D">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69" w:type="pct"/>
            <w:shd w:val="clear" w:color="auto" w:fill="auto"/>
            <w:vAlign w:val="center"/>
          </w:tcPr>
          <w:p w14:paraId="7003FFB1">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DMPP</w:t>
            </w:r>
          </w:p>
          <w:p w14:paraId="073B4FAC">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50" w:type="pct"/>
            <w:shd w:val="clear" w:color="auto" w:fill="auto"/>
            <w:vAlign w:val="center"/>
          </w:tcPr>
          <w:p w14:paraId="33E09DA9">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CP</w:t>
            </w:r>
          </w:p>
          <w:p w14:paraId="778013FA">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73585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2B3034BF">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（1）</w:t>
            </w:r>
          </w:p>
        </w:tc>
        <w:tc>
          <w:tcPr>
            <w:tcW w:w="878" w:type="pct"/>
            <w:shd w:val="clear" w:color="auto" w:fill="auto"/>
            <w:vAlign w:val="center"/>
          </w:tcPr>
          <w:p w14:paraId="383DB3C6">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沧州德胜</w:t>
            </w:r>
          </w:p>
        </w:tc>
        <w:tc>
          <w:tcPr>
            <w:tcW w:w="878" w:type="pct"/>
            <w:shd w:val="clear" w:color="auto" w:fill="auto"/>
            <w:vAlign w:val="center"/>
          </w:tcPr>
          <w:p w14:paraId="542B7B49">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26-10-12</w:t>
            </w:r>
          </w:p>
        </w:tc>
        <w:tc>
          <w:tcPr>
            <w:tcW w:w="950" w:type="pct"/>
            <w:shd w:val="clear" w:color="auto" w:fill="auto"/>
            <w:vAlign w:val="center"/>
          </w:tcPr>
          <w:p w14:paraId="56F659A6">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w:t>
            </w:r>
          </w:p>
        </w:tc>
        <w:tc>
          <w:tcPr>
            <w:tcW w:w="586" w:type="pct"/>
            <w:shd w:val="clear" w:color="auto" w:fill="auto"/>
            <w:vAlign w:val="center"/>
          </w:tcPr>
          <w:p w14:paraId="1F49D5C0">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69" w:type="pct"/>
            <w:shd w:val="clear" w:color="auto" w:fill="auto"/>
            <w:vAlign w:val="center"/>
          </w:tcPr>
          <w:p w14:paraId="7D4700D1">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50" w:type="pct"/>
            <w:shd w:val="clear" w:color="auto" w:fill="auto"/>
            <w:vAlign w:val="center"/>
          </w:tcPr>
          <w:p w14:paraId="6C3A6D21">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47489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71A55BCB">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（2）</w:t>
            </w:r>
          </w:p>
        </w:tc>
        <w:tc>
          <w:tcPr>
            <w:tcW w:w="878" w:type="pct"/>
            <w:shd w:val="clear" w:color="auto" w:fill="auto"/>
            <w:vAlign w:val="center"/>
          </w:tcPr>
          <w:p w14:paraId="7976B7A4">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东北丰</w:t>
            </w:r>
          </w:p>
        </w:tc>
        <w:tc>
          <w:tcPr>
            <w:tcW w:w="878" w:type="pct"/>
            <w:shd w:val="clear" w:color="auto" w:fill="auto"/>
            <w:vAlign w:val="center"/>
          </w:tcPr>
          <w:p w14:paraId="0D7CECD2">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26-11-11</w:t>
            </w:r>
          </w:p>
        </w:tc>
        <w:tc>
          <w:tcPr>
            <w:tcW w:w="950" w:type="pct"/>
            <w:shd w:val="clear" w:color="auto" w:fill="auto"/>
            <w:vAlign w:val="center"/>
          </w:tcPr>
          <w:p w14:paraId="227E7F8F">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w:t>
            </w:r>
          </w:p>
        </w:tc>
        <w:tc>
          <w:tcPr>
            <w:tcW w:w="586" w:type="pct"/>
            <w:shd w:val="clear" w:color="auto" w:fill="auto"/>
            <w:vAlign w:val="center"/>
          </w:tcPr>
          <w:p w14:paraId="6AA19586">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69" w:type="pct"/>
            <w:shd w:val="clear" w:color="auto" w:fill="auto"/>
            <w:vAlign w:val="center"/>
          </w:tcPr>
          <w:p w14:paraId="2EAF94B3">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50" w:type="pct"/>
            <w:shd w:val="clear" w:color="auto" w:fill="auto"/>
            <w:vAlign w:val="center"/>
          </w:tcPr>
          <w:p w14:paraId="37549E0D">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0A1AE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52F28124">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（3）</w:t>
            </w:r>
          </w:p>
        </w:tc>
        <w:tc>
          <w:tcPr>
            <w:tcW w:w="878" w:type="pct"/>
            <w:shd w:val="clear" w:color="auto" w:fill="auto"/>
            <w:vAlign w:val="center"/>
          </w:tcPr>
          <w:p w14:paraId="2B0B8CC0">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津旺</w:t>
            </w:r>
          </w:p>
        </w:tc>
        <w:tc>
          <w:tcPr>
            <w:tcW w:w="878" w:type="pct"/>
            <w:shd w:val="clear" w:color="auto" w:fill="auto"/>
            <w:vAlign w:val="center"/>
          </w:tcPr>
          <w:p w14:paraId="50D388DD">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25-10-10</w:t>
            </w:r>
          </w:p>
        </w:tc>
        <w:tc>
          <w:tcPr>
            <w:tcW w:w="950" w:type="pct"/>
            <w:shd w:val="clear" w:color="auto" w:fill="auto"/>
            <w:vAlign w:val="center"/>
          </w:tcPr>
          <w:p w14:paraId="02206C51">
            <w:pPr>
              <w:keepNext/>
              <w:keepLines w:val="0"/>
              <w:pageBreakBefore w:val="0"/>
              <w:wordWrap/>
              <w:overflowPunct/>
              <w:topLinePunct w:val="0"/>
              <w:bidi w:val="0"/>
              <w:snapToGrid w:val="0"/>
              <w:spacing w:line="360" w:lineRule="auto"/>
              <w:ind w:left="0" w:leftChars="0" w:right="0" w:rightChars="0" w:firstLine="0" w:firstLineChars="0"/>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w:t>
            </w:r>
          </w:p>
        </w:tc>
        <w:tc>
          <w:tcPr>
            <w:tcW w:w="586" w:type="pct"/>
            <w:shd w:val="clear" w:color="auto" w:fill="auto"/>
            <w:vAlign w:val="center"/>
          </w:tcPr>
          <w:p w14:paraId="0D2CC2AF">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69" w:type="pct"/>
            <w:shd w:val="clear" w:color="auto" w:fill="auto"/>
            <w:vAlign w:val="center"/>
          </w:tcPr>
          <w:p w14:paraId="1A5BA33E">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0.0136</w:t>
            </w:r>
          </w:p>
        </w:tc>
        <w:tc>
          <w:tcPr>
            <w:tcW w:w="550" w:type="pct"/>
            <w:shd w:val="clear" w:color="auto" w:fill="auto"/>
            <w:vAlign w:val="center"/>
          </w:tcPr>
          <w:p w14:paraId="3383438D">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225DD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2549103A">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（4）</w:t>
            </w:r>
          </w:p>
        </w:tc>
        <w:tc>
          <w:tcPr>
            <w:tcW w:w="878" w:type="pct"/>
            <w:shd w:val="clear" w:color="auto" w:fill="auto"/>
            <w:vAlign w:val="center"/>
          </w:tcPr>
          <w:p w14:paraId="437B1A03">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波普克</w:t>
            </w:r>
          </w:p>
        </w:tc>
        <w:tc>
          <w:tcPr>
            <w:tcW w:w="878" w:type="pct"/>
            <w:shd w:val="clear" w:color="auto" w:fill="auto"/>
            <w:vAlign w:val="center"/>
          </w:tcPr>
          <w:p w14:paraId="32648584">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26-10-12</w:t>
            </w:r>
          </w:p>
        </w:tc>
        <w:tc>
          <w:tcPr>
            <w:tcW w:w="950" w:type="pct"/>
            <w:shd w:val="clear" w:color="auto" w:fill="auto"/>
            <w:vAlign w:val="center"/>
          </w:tcPr>
          <w:p w14:paraId="5D91DDE1">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w:t>
            </w:r>
          </w:p>
        </w:tc>
        <w:tc>
          <w:tcPr>
            <w:tcW w:w="586" w:type="pct"/>
            <w:shd w:val="clear" w:color="auto" w:fill="auto"/>
            <w:vAlign w:val="center"/>
          </w:tcPr>
          <w:p w14:paraId="51F322C1">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69" w:type="pct"/>
            <w:shd w:val="clear" w:color="auto" w:fill="auto"/>
            <w:vAlign w:val="center"/>
          </w:tcPr>
          <w:p w14:paraId="005FE7DB">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0.0115</w:t>
            </w:r>
          </w:p>
        </w:tc>
        <w:tc>
          <w:tcPr>
            <w:tcW w:w="550" w:type="pct"/>
            <w:shd w:val="clear" w:color="auto" w:fill="auto"/>
            <w:vAlign w:val="center"/>
          </w:tcPr>
          <w:p w14:paraId="18703E0B">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6CA63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62CDB8E6">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（5）</w:t>
            </w:r>
          </w:p>
        </w:tc>
        <w:tc>
          <w:tcPr>
            <w:tcW w:w="878" w:type="pct"/>
            <w:shd w:val="clear" w:color="auto" w:fill="auto"/>
            <w:vAlign w:val="center"/>
          </w:tcPr>
          <w:p w14:paraId="183817F0">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吉林辽源</w:t>
            </w:r>
          </w:p>
        </w:tc>
        <w:tc>
          <w:tcPr>
            <w:tcW w:w="878" w:type="pct"/>
            <w:shd w:val="clear" w:color="auto" w:fill="auto"/>
            <w:vAlign w:val="center"/>
          </w:tcPr>
          <w:p w14:paraId="09A9AA2E">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26-10-12</w:t>
            </w:r>
          </w:p>
        </w:tc>
        <w:tc>
          <w:tcPr>
            <w:tcW w:w="950" w:type="pct"/>
            <w:shd w:val="clear" w:color="auto" w:fill="auto"/>
            <w:vAlign w:val="center"/>
          </w:tcPr>
          <w:p w14:paraId="67CE6BC0">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w:t>
            </w:r>
          </w:p>
        </w:tc>
        <w:tc>
          <w:tcPr>
            <w:tcW w:w="586" w:type="pct"/>
            <w:shd w:val="clear" w:color="auto" w:fill="auto"/>
            <w:vAlign w:val="center"/>
          </w:tcPr>
          <w:p w14:paraId="3243FBF0">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0.0242</w:t>
            </w:r>
          </w:p>
        </w:tc>
        <w:tc>
          <w:tcPr>
            <w:tcW w:w="569" w:type="pct"/>
            <w:shd w:val="clear" w:color="auto" w:fill="auto"/>
            <w:vAlign w:val="center"/>
          </w:tcPr>
          <w:p w14:paraId="6699E014">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50" w:type="pct"/>
            <w:shd w:val="clear" w:color="auto" w:fill="auto"/>
            <w:vAlign w:val="center"/>
          </w:tcPr>
          <w:p w14:paraId="3D8F7336">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72EAB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1C021310">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（6）</w:t>
            </w:r>
          </w:p>
        </w:tc>
        <w:tc>
          <w:tcPr>
            <w:tcW w:w="878" w:type="pct"/>
            <w:shd w:val="clear" w:color="auto" w:fill="auto"/>
            <w:vAlign w:val="center"/>
          </w:tcPr>
          <w:p w14:paraId="6A9813BA">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艾克斯</w:t>
            </w:r>
          </w:p>
        </w:tc>
        <w:tc>
          <w:tcPr>
            <w:tcW w:w="878" w:type="pct"/>
            <w:shd w:val="clear" w:color="auto" w:fill="auto"/>
            <w:vAlign w:val="center"/>
          </w:tcPr>
          <w:p w14:paraId="305AB3F1">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26-11-11</w:t>
            </w:r>
          </w:p>
        </w:tc>
        <w:tc>
          <w:tcPr>
            <w:tcW w:w="950" w:type="pct"/>
            <w:shd w:val="clear" w:color="auto" w:fill="auto"/>
            <w:vAlign w:val="center"/>
          </w:tcPr>
          <w:p w14:paraId="3E761702">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w:t>
            </w:r>
          </w:p>
        </w:tc>
        <w:tc>
          <w:tcPr>
            <w:tcW w:w="586" w:type="pct"/>
            <w:shd w:val="clear" w:color="auto" w:fill="auto"/>
            <w:vAlign w:val="center"/>
          </w:tcPr>
          <w:p w14:paraId="569D0E33">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69" w:type="pct"/>
            <w:shd w:val="clear" w:color="auto" w:fill="auto"/>
            <w:vAlign w:val="center"/>
          </w:tcPr>
          <w:p w14:paraId="3D45C562">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0.0101</w:t>
            </w:r>
          </w:p>
        </w:tc>
        <w:tc>
          <w:tcPr>
            <w:tcW w:w="550" w:type="pct"/>
            <w:shd w:val="clear" w:color="auto" w:fill="auto"/>
            <w:vAlign w:val="center"/>
          </w:tcPr>
          <w:p w14:paraId="7FB3B8A9">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1A2F8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0B625313">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（7）</w:t>
            </w:r>
          </w:p>
        </w:tc>
        <w:tc>
          <w:tcPr>
            <w:tcW w:w="878" w:type="pct"/>
            <w:shd w:val="clear" w:color="auto" w:fill="auto"/>
            <w:vAlign w:val="center"/>
          </w:tcPr>
          <w:p w14:paraId="5BB1B39B">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山东嘉源</w:t>
            </w:r>
          </w:p>
        </w:tc>
        <w:tc>
          <w:tcPr>
            <w:tcW w:w="878" w:type="pct"/>
            <w:shd w:val="clear" w:color="auto" w:fill="auto"/>
            <w:vAlign w:val="center"/>
          </w:tcPr>
          <w:p w14:paraId="76FB256F">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26-12-12</w:t>
            </w:r>
          </w:p>
        </w:tc>
        <w:tc>
          <w:tcPr>
            <w:tcW w:w="950" w:type="pct"/>
            <w:shd w:val="clear" w:color="auto" w:fill="auto"/>
            <w:vAlign w:val="center"/>
          </w:tcPr>
          <w:p w14:paraId="2FC5B677">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w:t>
            </w:r>
          </w:p>
        </w:tc>
        <w:tc>
          <w:tcPr>
            <w:tcW w:w="586" w:type="pct"/>
            <w:shd w:val="clear" w:color="auto" w:fill="auto"/>
            <w:vAlign w:val="center"/>
          </w:tcPr>
          <w:p w14:paraId="1A9678F9">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69" w:type="pct"/>
            <w:shd w:val="clear" w:color="auto" w:fill="auto"/>
            <w:vAlign w:val="center"/>
          </w:tcPr>
          <w:p w14:paraId="57CC5C00">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50" w:type="pct"/>
            <w:shd w:val="clear" w:color="auto" w:fill="auto"/>
            <w:vAlign w:val="center"/>
          </w:tcPr>
          <w:p w14:paraId="024BCC06">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47DBF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2B9EF48A">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（8）</w:t>
            </w:r>
          </w:p>
        </w:tc>
        <w:tc>
          <w:tcPr>
            <w:tcW w:w="878" w:type="pct"/>
            <w:shd w:val="clear" w:color="auto" w:fill="auto"/>
            <w:vAlign w:val="center"/>
          </w:tcPr>
          <w:p w14:paraId="2EA531A1">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吉林隆福源</w:t>
            </w:r>
          </w:p>
        </w:tc>
        <w:tc>
          <w:tcPr>
            <w:tcW w:w="878" w:type="pct"/>
            <w:shd w:val="clear" w:color="auto" w:fill="auto"/>
            <w:vAlign w:val="center"/>
          </w:tcPr>
          <w:p w14:paraId="179CAFB8">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26-12-12</w:t>
            </w:r>
          </w:p>
        </w:tc>
        <w:tc>
          <w:tcPr>
            <w:tcW w:w="950" w:type="pct"/>
            <w:shd w:val="clear" w:color="auto" w:fill="auto"/>
            <w:vAlign w:val="center"/>
          </w:tcPr>
          <w:p w14:paraId="32982743">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w:t>
            </w:r>
          </w:p>
        </w:tc>
        <w:tc>
          <w:tcPr>
            <w:tcW w:w="586" w:type="pct"/>
            <w:shd w:val="clear" w:color="auto" w:fill="auto"/>
            <w:vAlign w:val="center"/>
          </w:tcPr>
          <w:p w14:paraId="5339D37D">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69" w:type="pct"/>
            <w:shd w:val="clear" w:color="auto" w:fill="auto"/>
            <w:vAlign w:val="center"/>
          </w:tcPr>
          <w:p w14:paraId="3CC1B3B2">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50" w:type="pct"/>
            <w:shd w:val="clear" w:color="auto" w:fill="auto"/>
            <w:vAlign w:val="center"/>
          </w:tcPr>
          <w:p w14:paraId="3E8ED9DE">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03323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13AD2BC5">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9</w:t>
            </w:r>
            <w:r>
              <w:rPr>
                <w:rFonts w:ascii="Times New Roman" w:hAnsi="Times New Roman" w:eastAsia="宋体" w:cs="Times New Roman"/>
                <w:sz w:val="21"/>
                <w:szCs w:val="21"/>
              </w:rPr>
              <w:t>）</w:t>
            </w:r>
          </w:p>
        </w:tc>
        <w:tc>
          <w:tcPr>
            <w:tcW w:w="878" w:type="pct"/>
            <w:shd w:val="clear" w:color="auto" w:fill="auto"/>
            <w:vAlign w:val="center"/>
          </w:tcPr>
          <w:p w14:paraId="78729580">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河南施可丰</w:t>
            </w:r>
          </w:p>
        </w:tc>
        <w:tc>
          <w:tcPr>
            <w:tcW w:w="878" w:type="pct"/>
            <w:shd w:val="clear" w:color="auto" w:fill="auto"/>
            <w:vAlign w:val="center"/>
          </w:tcPr>
          <w:p w14:paraId="1B951143">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24-15-6</w:t>
            </w:r>
          </w:p>
        </w:tc>
        <w:tc>
          <w:tcPr>
            <w:tcW w:w="950" w:type="pct"/>
            <w:shd w:val="clear" w:color="auto" w:fill="auto"/>
            <w:vAlign w:val="center"/>
          </w:tcPr>
          <w:p w14:paraId="380F2D7F">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w:t>
            </w:r>
          </w:p>
        </w:tc>
        <w:tc>
          <w:tcPr>
            <w:tcW w:w="586" w:type="pct"/>
            <w:shd w:val="clear" w:color="auto" w:fill="auto"/>
            <w:vAlign w:val="center"/>
          </w:tcPr>
          <w:p w14:paraId="3DDAD46B">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69" w:type="pct"/>
            <w:shd w:val="clear" w:color="auto" w:fill="auto"/>
            <w:vAlign w:val="center"/>
          </w:tcPr>
          <w:p w14:paraId="356C6784">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50" w:type="pct"/>
            <w:shd w:val="clear" w:color="auto" w:fill="auto"/>
            <w:vAlign w:val="center"/>
          </w:tcPr>
          <w:p w14:paraId="26C2F2F5">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6296C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7118D148">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10</w:t>
            </w:r>
            <w:r>
              <w:rPr>
                <w:rFonts w:ascii="Times New Roman" w:hAnsi="Times New Roman" w:eastAsia="宋体" w:cs="Times New Roman"/>
                <w:sz w:val="21"/>
                <w:szCs w:val="21"/>
              </w:rPr>
              <w:t>）</w:t>
            </w:r>
          </w:p>
        </w:tc>
        <w:tc>
          <w:tcPr>
            <w:tcW w:w="878" w:type="pct"/>
            <w:shd w:val="clear" w:color="auto" w:fill="auto"/>
            <w:vAlign w:val="center"/>
          </w:tcPr>
          <w:p w14:paraId="6590B53C">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河南施可丰</w:t>
            </w:r>
          </w:p>
        </w:tc>
        <w:tc>
          <w:tcPr>
            <w:tcW w:w="878" w:type="pct"/>
            <w:shd w:val="clear" w:color="auto" w:fill="auto"/>
            <w:vAlign w:val="center"/>
          </w:tcPr>
          <w:p w14:paraId="27EF50A6">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24-15-6</w:t>
            </w:r>
          </w:p>
        </w:tc>
        <w:tc>
          <w:tcPr>
            <w:tcW w:w="950" w:type="pct"/>
            <w:shd w:val="clear" w:color="auto" w:fill="auto"/>
            <w:vAlign w:val="center"/>
          </w:tcPr>
          <w:p w14:paraId="73B328C9">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原料</w:t>
            </w:r>
          </w:p>
        </w:tc>
        <w:tc>
          <w:tcPr>
            <w:tcW w:w="586" w:type="pct"/>
            <w:shd w:val="clear" w:color="auto" w:fill="auto"/>
            <w:vAlign w:val="center"/>
          </w:tcPr>
          <w:p w14:paraId="2C957BC0">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69" w:type="pct"/>
            <w:shd w:val="clear" w:color="auto" w:fill="auto"/>
            <w:vAlign w:val="center"/>
          </w:tcPr>
          <w:p w14:paraId="0288BEE8">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50" w:type="pct"/>
            <w:shd w:val="clear" w:color="auto" w:fill="auto"/>
            <w:vAlign w:val="center"/>
          </w:tcPr>
          <w:p w14:paraId="51570E08">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0B715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2710598E">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11</w:t>
            </w:r>
            <w:r>
              <w:rPr>
                <w:rFonts w:hint="eastAsia" w:ascii="Times New Roman" w:hAnsi="Times New Roman" w:eastAsia="宋体" w:cs="Times New Roman"/>
                <w:sz w:val="21"/>
                <w:szCs w:val="21"/>
              </w:rPr>
              <w:t>）</w:t>
            </w:r>
          </w:p>
        </w:tc>
        <w:tc>
          <w:tcPr>
            <w:tcW w:w="878" w:type="pct"/>
            <w:shd w:val="clear" w:color="auto" w:fill="auto"/>
            <w:vAlign w:val="center"/>
          </w:tcPr>
          <w:p w14:paraId="7B277228">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山东施可丰</w:t>
            </w:r>
          </w:p>
        </w:tc>
        <w:tc>
          <w:tcPr>
            <w:tcW w:w="878" w:type="pct"/>
            <w:shd w:val="clear" w:color="auto" w:fill="auto"/>
            <w:vAlign w:val="center"/>
          </w:tcPr>
          <w:p w14:paraId="0BFD82A0">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26-11-11</w:t>
            </w:r>
          </w:p>
        </w:tc>
        <w:tc>
          <w:tcPr>
            <w:tcW w:w="950" w:type="pct"/>
            <w:shd w:val="clear" w:color="auto" w:fill="auto"/>
            <w:vAlign w:val="center"/>
          </w:tcPr>
          <w:p w14:paraId="088B4DDD">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i w:val="0"/>
                <w:iCs w:val="0"/>
                <w:color w:val="FF0000"/>
                <w:kern w:val="0"/>
                <w:sz w:val="21"/>
                <w:szCs w:val="21"/>
                <w:u w:val="none"/>
                <w:lang w:val="en-US" w:eastAsia="zh-CN" w:bidi="ar"/>
              </w:rPr>
            </w:pPr>
            <w:r>
              <w:rPr>
                <w:rFonts w:hint="eastAsia" w:ascii="宋体" w:hAnsi="宋体" w:eastAsia="宋体" w:cs="宋体"/>
                <w:i w:val="0"/>
                <w:iCs w:val="0"/>
                <w:color w:val="FF0000"/>
                <w:kern w:val="0"/>
                <w:sz w:val="21"/>
                <w:szCs w:val="21"/>
                <w:u w:val="none"/>
                <w:lang w:val="en-US" w:eastAsia="zh-CN" w:bidi="ar"/>
              </w:rPr>
              <w:t>原料1</w:t>
            </w:r>
          </w:p>
        </w:tc>
        <w:tc>
          <w:tcPr>
            <w:tcW w:w="586" w:type="pct"/>
            <w:shd w:val="clear" w:color="auto" w:fill="auto"/>
            <w:vAlign w:val="center"/>
          </w:tcPr>
          <w:p w14:paraId="29A701D5">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FF0000"/>
                <w:kern w:val="0"/>
                <w:sz w:val="21"/>
                <w:szCs w:val="21"/>
                <w:u w:val="none"/>
                <w:lang w:val="en-US" w:eastAsia="zh-CN" w:bidi="ar"/>
              </w:rPr>
              <w:t>0.0201</w:t>
            </w:r>
          </w:p>
        </w:tc>
        <w:tc>
          <w:tcPr>
            <w:tcW w:w="569" w:type="pct"/>
            <w:shd w:val="clear" w:color="auto" w:fill="auto"/>
            <w:vAlign w:val="center"/>
          </w:tcPr>
          <w:p w14:paraId="17F82DFC">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50" w:type="pct"/>
            <w:shd w:val="clear" w:color="auto" w:fill="auto"/>
            <w:vAlign w:val="center"/>
          </w:tcPr>
          <w:p w14:paraId="572410F7">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79F5E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5AB7D753">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12</w:t>
            </w:r>
            <w:r>
              <w:rPr>
                <w:rFonts w:hint="eastAsia" w:ascii="Times New Roman" w:hAnsi="Times New Roman" w:eastAsia="宋体" w:cs="Times New Roman"/>
                <w:sz w:val="21"/>
                <w:szCs w:val="21"/>
              </w:rPr>
              <w:t>）</w:t>
            </w:r>
          </w:p>
        </w:tc>
        <w:tc>
          <w:tcPr>
            <w:tcW w:w="878" w:type="pct"/>
            <w:shd w:val="clear" w:color="auto" w:fill="auto"/>
            <w:vAlign w:val="center"/>
          </w:tcPr>
          <w:p w14:paraId="2D5D8FFB">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山东施可丰</w:t>
            </w:r>
          </w:p>
        </w:tc>
        <w:tc>
          <w:tcPr>
            <w:tcW w:w="878" w:type="pct"/>
            <w:shd w:val="clear" w:color="auto" w:fill="auto"/>
            <w:vAlign w:val="center"/>
          </w:tcPr>
          <w:p w14:paraId="7CF02F93">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26-11-11</w:t>
            </w:r>
          </w:p>
        </w:tc>
        <w:tc>
          <w:tcPr>
            <w:tcW w:w="950" w:type="pct"/>
            <w:shd w:val="clear" w:color="auto" w:fill="auto"/>
            <w:vAlign w:val="center"/>
          </w:tcPr>
          <w:p w14:paraId="5510B62F">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i w:val="0"/>
                <w:iCs w:val="0"/>
                <w:color w:val="FF0000"/>
                <w:kern w:val="0"/>
                <w:sz w:val="21"/>
                <w:szCs w:val="21"/>
                <w:u w:val="none"/>
                <w:lang w:val="en-US" w:eastAsia="zh-CN" w:bidi="ar"/>
              </w:rPr>
            </w:pPr>
            <w:r>
              <w:rPr>
                <w:rFonts w:hint="eastAsia" w:ascii="宋体" w:hAnsi="宋体" w:eastAsia="宋体" w:cs="宋体"/>
                <w:i w:val="0"/>
                <w:iCs w:val="0"/>
                <w:color w:val="FF0000"/>
                <w:kern w:val="0"/>
                <w:sz w:val="21"/>
                <w:szCs w:val="21"/>
                <w:u w:val="none"/>
                <w:lang w:val="en-US" w:eastAsia="zh-CN" w:bidi="ar"/>
              </w:rPr>
              <w:t>原料2</w:t>
            </w:r>
          </w:p>
        </w:tc>
        <w:tc>
          <w:tcPr>
            <w:tcW w:w="586" w:type="pct"/>
            <w:shd w:val="clear" w:color="auto" w:fill="auto"/>
            <w:vAlign w:val="center"/>
          </w:tcPr>
          <w:p w14:paraId="4D8C2E49">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69" w:type="pct"/>
            <w:shd w:val="clear" w:color="auto" w:fill="auto"/>
            <w:vAlign w:val="center"/>
          </w:tcPr>
          <w:p w14:paraId="21987CB8">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50" w:type="pct"/>
            <w:shd w:val="clear" w:color="auto" w:fill="auto"/>
            <w:vAlign w:val="center"/>
          </w:tcPr>
          <w:p w14:paraId="4986ECE1">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29E20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32CC291C">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13</w:t>
            </w:r>
            <w:r>
              <w:rPr>
                <w:rFonts w:hint="eastAsia" w:ascii="Times New Roman" w:hAnsi="Times New Roman" w:eastAsia="宋体" w:cs="Times New Roman"/>
                <w:sz w:val="21"/>
                <w:szCs w:val="21"/>
                <w:lang w:eastAsia="zh-CN"/>
              </w:rPr>
              <w:t>）</w:t>
            </w:r>
          </w:p>
        </w:tc>
        <w:tc>
          <w:tcPr>
            <w:tcW w:w="878" w:type="pct"/>
            <w:shd w:val="clear" w:color="auto" w:fill="auto"/>
            <w:vAlign w:val="center"/>
          </w:tcPr>
          <w:p w14:paraId="49574DF9">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山东施可丰</w:t>
            </w:r>
          </w:p>
        </w:tc>
        <w:tc>
          <w:tcPr>
            <w:tcW w:w="878" w:type="pct"/>
            <w:shd w:val="clear" w:color="auto" w:fill="auto"/>
            <w:vAlign w:val="center"/>
          </w:tcPr>
          <w:p w14:paraId="6FFA06A9">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26-11-11</w:t>
            </w:r>
          </w:p>
        </w:tc>
        <w:tc>
          <w:tcPr>
            <w:tcW w:w="950" w:type="pct"/>
            <w:shd w:val="clear" w:color="auto" w:fill="auto"/>
            <w:vAlign w:val="center"/>
          </w:tcPr>
          <w:p w14:paraId="3B6A29D9">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成品1</w:t>
            </w:r>
          </w:p>
        </w:tc>
        <w:tc>
          <w:tcPr>
            <w:tcW w:w="586" w:type="pct"/>
            <w:shd w:val="clear" w:color="auto" w:fill="auto"/>
            <w:vAlign w:val="center"/>
          </w:tcPr>
          <w:p w14:paraId="7735680A">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69" w:type="pct"/>
            <w:shd w:val="clear" w:color="auto" w:fill="auto"/>
            <w:vAlign w:val="center"/>
          </w:tcPr>
          <w:p w14:paraId="24FBB9CE">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50" w:type="pct"/>
            <w:shd w:val="clear" w:color="auto" w:fill="auto"/>
            <w:vAlign w:val="center"/>
          </w:tcPr>
          <w:p w14:paraId="5C5CE24D">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78330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5E130582">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14</w:t>
            </w:r>
            <w:r>
              <w:rPr>
                <w:rFonts w:hint="eastAsia" w:ascii="Times New Roman" w:hAnsi="Times New Roman" w:eastAsia="宋体" w:cs="Times New Roman"/>
                <w:sz w:val="21"/>
                <w:szCs w:val="21"/>
                <w:lang w:eastAsia="zh-CN"/>
              </w:rPr>
              <w:t>）</w:t>
            </w:r>
          </w:p>
        </w:tc>
        <w:tc>
          <w:tcPr>
            <w:tcW w:w="878" w:type="pct"/>
            <w:shd w:val="clear" w:color="auto" w:fill="auto"/>
            <w:vAlign w:val="center"/>
          </w:tcPr>
          <w:p w14:paraId="362F2048">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山东施可丰</w:t>
            </w:r>
          </w:p>
        </w:tc>
        <w:tc>
          <w:tcPr>
            <w:tcW w:w="878" w:type="pct"/>
            <w:shd w:val="clear" w:color="auto" w:fill="auto"/>
            <w:vAlign w:val="center"/>
          </w:tcPr>
          <w:p w14:paraId="0DFE8C1E">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26-11-11</w:t>
            </w:r>
          </w:p>
        </w:tc>
        <w:tc>
          <w:tcPr>
            <w:tcW w:w="950" w:type="pct"/>
            <w:shd w:val="clear" w:color="auto" w:fill="auto"/>
            <w:vAlign w:val="center"/>
          </w:tcPr>
          <w:p w14:paraId="17B8C85C">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成品2</w:t>
            </w:r>
          </w:p>
        </w:tc>
        <w:tc>
          <w:tcPr>
            <w:tcW w:w="586" w:type="pct"/>
            <w:shd w:val="clear" w:color="auto" w:fill="auto"/>
            <w:vAlign w:val="center"/>
          </w:tcPr>
          <w:p w14:paraId="4D6ED8E0">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69" w:type="pct"/>
            <w:shd w:val="clear" w:color="auto" w:fill="auto"/>
            <w:vAlign w:val="center"/>
          </w:tcPr>
          <w:p w14:paraId="2B6590E2">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50" w:type="pct"/>
            <w:shd w:val="clear" w:color="auto" w:fill="auto"/>
            <w:vAlign w:val="center"/>
          </w:tcPr>
          <w:p w14:paraId="399EF223">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475B0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45F956D6">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15</w:t>
            </w:r>
            <w:r>
              <w:rPr>
                <w:rFonts w:hint="eastAsia" w:ascii="Times New Roman" w:hAnsi="Times New Roman" w:eastAsia="宋体" w:cs="Times New Roman"/>
                <w:sz w:val="21"/>
                <w:szCs w:val="21"/>
                <w:lang w:eastAsia="zh-CN"/>
              </w:rPr>
              <w:t>）</w:t>
            </w:r>
          </w:p>
        </w:tc>
        <w:tc>
          <w:tcPr>
            <w:tcW w:w="878" w:type="pct"/>
            <w:shd w:val="clear" w:color="auto" w:fill="auto"/>
            <w:vAlign w:val="center"/>
          </w:tcPr>
          <w:p w14:paraId="4962302F">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辽宁东北丰</w:t>
            </w:r>
          </w:p>
        </w:tc>
        <w:tc>
          <w:tcPr>
            <w:tcW w:w="878" w:type="pct"/>
            <w:shd w:val="clear" w:color="auto" w:fill="auto"/>
            <w:vAlign w:val="center"/>
          </w:tcPr>
          <w:p w14:paraId="6B57F74D">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26-11-11</w:t>
            </w:r>
          </w:p>
        </w:tc>
        <w:tc>
          <w:tcPr>
            <w:tcW w:w="950" w:type="pct"/>
            <w:shd w:val="clear" w:color="auto" w:fill="auto"/>
            <w:vAlign w:val="center"/>
          </w:tcPr>
          <w:p w14:paraId="10725A50">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i w:val="0"/>
                <w:iCs w:val="0"/>
                <w:color w:val="FF0000"/>
                <w:kern w:val="0"/>
                <w:sz w:val="21"/>
                <w:szCs w:val="21"/>
                <w:u w:val="none"/>
                <w:lang w:val="en-US" w:eastAsia="zh-CN" w:bidi="ar"/>
              </w:rPr>
            </w:pPr>
            <w:r>
              <w:rPr>
                <w:rFonts w:hint="eastAsia" w:ascii="宋体" w:hAnsi="宋体" w:eastAsia="宋体" w:cs="宋体"/>
                <w:i w:val="0"/>
                <w:iCs w:val="0"/>
                <w:color w:val="FF0000"/>
                <w:kern w:val="0"/>
                <w:sz w:val="21"/>
                <w:szCs w:val="21"/>
                <w:u w:val="none"/>
                <w:lang w:val="en-US" w:eastAsia="zh-CN" w:bidi="ar"/>
              </w:rPr>
              <w:t>原料</w:t>
            </w:r>
          </w:p>
        </w:tc>
        <w:tc>
          <w:tcPr>
            <w:tcW w:w="586" w:type="pct"/>
            <w:shd w:val="clear" w:color="auto" w:fill="auto"/>
            <w:vAlign w:val="center"/>
          </w:tcPr>
          <w:p w14:paraId="3CF31710">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FF0000"/>
                <w:kern w:val="0"/>
                <w:sz w:val="21"/>
                <w:szCs w:val="21"/>
                <w:u w:val="none"/>
                <w:lang w:val="en-US" w:eastAsia="zh-CN" w:bidi="ar"/>
              </w:rPr>
            </w:pPr>
            <w:r>
              <w:rPr>
                <w:rFonts w:hint="eastAsia" w:ascii="Times New Roman" w:hAnsi="Times New Roman" w:eastAsia="宋体" w:cs="Times New Roman"/>
                <w:i w:val="0"/>
                <w:iCs w:val="0"/>
                <w:color w:val="FF0000"/>
                <w:kern w:val="0"/>
                <w:sz w:val="21"/>
                <w:szCs w:val="21"/>
                <w:u w:val="none"/>
                <w:lang w:val="en-US" w:eastAsia="zh-CN" w:bidi="ar"/>
              </w:rPr>
              <w:t>-</w:t>
            </w:r>
          </w:p>
        </w:tc>
        <w:tc>
          <w:tcPr>
            <w:tcW w:w="569" w:type="pct"/>
            <w:shd w:val="clear" w:color="auto" w:fill="auto"/>
            <w:vAlign w:val="center"/>
          </w:tcPr>
          <w:p w14:paraId="44742DB7">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FF0000"/>
                <w:kern w:val="0"/>
                <w:sz w:val="21"/>
                <w:szCs w:val="21"/>
                <w:u w:val="none"/>
                <w:lang w:val="en-US" w:eastAsia="zh-CN" w:bidi="ar"/>
              </w:rPr>
            </w:pPr>
            <w:r>
              <w:rPr>
                <w:rFonts w:hint="default" w:ascii="Times New Roman" w:hAnsi="Times New Roman" w:eastAsia="宋体" w:cs="Times New Roman"/>
                <w:i w:val="0"/>
                <w:iCs w:val="0"/>
                <w:color w:val="FF0000"/>
                <w:kern w:val="0"/>
                <w:sz w:val="21"/>
                <w:szCs w:val="21"/>
                <w:u w:val="none"/>
                <w:lang w:val="en-US" w:eastAsia="zh-CN" w:bidi="ar"/>
              </w:rPr>
              <w:t xml:space="preserve">0.0089 </w:t>
            </w:r>
          </w:p>
        </w:tc>
        <w:tc>
          <w:tcPr>
            <w:tcW w:w="550" w:type="pct"/>
            <w:shd w:val="clear" w:color="auto" w:fill="auto"/>
            <w:vAlign w:val="center"/>
          </w:tcPr>
          <w:p w14:paraId="4B71C5F4">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355AD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7063F5DA">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1</w:t>
            </w:r>
            <w:r>
              <w:rPr>
                <w:rFonts w:ascii="Times New Roman" w:hAnsi="Times New Roman" w:eastAsia="宋体" w:cs="Times New Roman"/>
                <w:sz w:val="21"/>
                <w:szCs w:val="21"/>
              </w:rPr>
              <w:t>6）</w:t>
            </w:r>
          </w:p>
        </w:tc>
        <w:tc>
          <w:tcPr>
            <w:tcW w:w="878" w:type="pct"/>
            <w:shd w:val="clear" w:color="auto" w:fill="auto"/>
            <w:vAlign w:val="center"/>
          </w:tcPr>
          <w:p w14:paraId="53DA44DD">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辽宁东北丰</w:t>
            </w:r>
          </w:p>
        </w:tc>
        <w:tc>
          <w:tcPr>
            <w:tcW w:w="878" w:type="pct"/>
            <w:shd w:val="clear" w:color="auto" w:fill="auto"/>
            <w:vAlign w:val="center"/>
          </w:tcPr>
          <w:p w14:paraId="5730E544">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26-11-11</w:t>
            </w:r>
          </w:p>
        </w:tc>
        <w:tc>
          <w:tcPr>
            <w:tcW w:w="950" w:type="pct"/>
            <w:shd w:val="clear" w:color="auto" w:fill="auto"/>
            <w:vAlign w:val="center"/>
          </w:tcPr>
          <w:p w14:paraId="70AEA21D">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w:t>
            </w:r>
          </w:p>
        </w:tc>
        <w:tc>
          <w:tcPr>
            <w:tcW w:w="586" w:type="pct"/>
            <w:shd w:val="clear" w:color="auto" w:fill="auto"/>
            <w:vAlign w:val="center"/>
          </w:tcPr>
          <w:p w14:paraId="17D38DE1">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69" w:type="pct"/>
            <w:shd w:val="clear" w:color="auto" w:fill="auto"/>
            <w:vAlign w:val="center"/>
          </w:tcPr>
          <w:p w14:paraId="4009A908">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0.0093 </w:t>
            </w:r>
          </w:p>
        </w:tc>
        <w:tc>
          <w:tcPr>
            <w:tcW w:w="550" w:type="pct"/>
            <w:shd w:val="clear" w:color="auto" w:fill="auto"/>
            <w:vAlign w:val="center"/>
          </w:tcPr>
          <w:p w14:paraId="652D8838">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77038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31DEC09D">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1</w:t>
            </w:r>
            <w:r>
              <w:rPr>
                <w:rFonts w:hint="eastAsia" w:ascii="Times New Roman" w:hAnsi="Times New Roman" w:eastAsia="宋体" w:cs="Times New Roman"/>
                <w:sz w:val="21"/>
                <w:szCs w:val="21"/>
              </w:rPr>
              <w:t>7）</w:t>
            </w:r>
          </w:p>
        </w:tc>
        <w:tc>
          <w:tcPr>
            <w:tcW w:w="878" w:type="pct"/>
            <w:shd w:val="clear" w:color="auto" w:fill="auto"/>
            <w:vAlign w:val="center"/>
          </w:tcPr>
          <w:p w14:paraId="76C9D6E2">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辽宁东北丰</w:t>
            </w:r>
          </w:p>
        </w:tc>
        <w:tc>
          <w:tcPr>
            <w:tcW w:w="878" w:type="pct"/>
            <w:shd w:val="clear" w:color="auto" w:fill="auto"/>
            <w:vAlign w:val="center"/>
          </w:tcPr>
          <w:p w14:paraId="4BC8102E">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26-11-12</w:t>
            </w:r>
          </w:p>
        </w:tc>
        <w:tc>
          <w:tcPr>
            <w:tcW w:w="950" w:type="pct"/>
            <w:shd w:val="clear" w:color="auto" w:fill="auto"/>
            <w:vAlign w:val="center"/>
          </w:tcPr>
          <w:p w14:paraId="09AB3CBF">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i w:val="0"/>
                <w:iCs w:val="0"/>
                <w:color w:val="FF0000"/>
                <w:kern w:val="0"/>
                <w:sz w:val="21"/>
                <w:szCs w:val="21"/>
                <w:u w:val="none"/>
                <w:lang w:val="en-US" w:eastAsia="zh-CN" w:bidi="ar"/>
              </w:rPr>
            </w:pPr>
            <w:r>
              <w:rPr>
                <w:rFonts w:hint="eastAsia" w:ascii="宋体" w:hAnsi="宋体" w:eastAsia="宋体" w:cs="宋体"/>
                <w:i w:val="0"/>
                <w:iCs w:val="0"/>
                <w:color w:val="FF0000"/>
                <w:kern w:val="0"/>
                <w:sz w:val="21"/>
                <w:szCs w:val="21"/>
                <w:u w:val="none"/>
                <w:lang w:val="en-US" w:eastAsia="zh-CN" w:bidi="ar"/>
              </w:rPr>
              <w:t>原料</w:t>
            </w:r>
          </w:p>
        </w:tc>
        <w:tc>
          <w:tcPr>
            <w:tcW w:w="586" w:type="pct"/>
            <w:shd w:val="clear" w:color="auto" w:fill="auto"/>
            <w:vAlign w:val="center"/>
          </w:tcPr>
          <w:p w14:paraId="62442358">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FF0000"/>
                <w:kern w:val="0"/>
                <w:sz w:val="21"/>
                <w:szCs w:val="21"/>
                <w:u w:val="none"/>
                <w:lang w:val="en-US" w:eastAsia="zh-CN" w:bidi="ar"/>
              </w:rPr>
            </w:pPr>
            <w:r>
              <w:rPr>
                <w:rFonts w:hint="eastAsia" w:ascii="Times New Roman" w:hAnsi="Times New Roman" w:eastAsia="宋体" w:cs="Times New Roman"/>
                <w:i w:val="0"/>
                <w:iCs w:val="0"/>
                <w:color w:val="FF0000"/>
                <w:kern w:val="0"/>
                <w:sz w:val="21"/>
                <w:szCs w:val="21"/>
                <w:u w:val="none"/>
                <w:lang w:val="en-US" w:eastAsia="zh-CN" w:bidi="ar"/>
              </w:rPr>
              <w:t>-</w:t>
            </w:r>
          </w:p>
        </w:tc>
        <w:tc>
          <w:tcPr>
            <w:tcW w:w="569" w:type="pct"/>
            <w:shd w:val="clear" w:color="auto" w:fill="auto"/>
            <w:vAlign w:val="center"/>
          </w:tcPr>
          <w:p w14:paraId="49966805">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FF0000"/>
                <w:kern w:val="0"/>
                <w:sz w:val="21"/>
                <w:szCs w:val="21"/>
                <w:u w:val="none"/>
                <w:lang w:val="en-US" w:eastAsia="zh-CN" w:bidi="ar"/>
              </w:rPr>
            </w:pPr>
            <w:r>
              <w:rPr>
                <w:rFonts w:hint="default" w:ascii="Times New Roman" w:hAnsi="Times New Roman" w:eastAsia="宋体" w:cs="Times New Roman"/>
                <w:i w:val="0"/>
                <w:iCs w:val="0"/>
                <w:color w:val="FF0000"/>
                <w:kern w:val="0"/>
                <w:sz w:val="21"/>
                <w:szCs w:val="21"/>
                <w:u w:val="none"/>
                <w:lang w:val="en-US" w:eastAsia="zh-CN" w:bidi="ar"/>
              </w:rPr>
              <w:t xml:space="preserve">0.0157 </w:t>
            </w:r>
          </w:p>
        </w:tc>
        <w:tc>
          <w:tcPr>
            <w:tcW w:w="550" w:type="pct"/>
            <w:shd w:val="clear" w:color="auto" w:fill="auto"/>
            <w:vAlign w:val="center"/>
          </w:tcPr>
          <w:p w14:paraId="781D8665">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p>
        </w:tc>
      </w:tr>
      <w:tr w14:paraId="75EE7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1D43142A">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1</w:t>
            </w:r>
            <w:r>
              <w:rPr>
                <w:rFonts w:hint="eastAsia" w:ascii="Times New Roman" w:hAnsi="Times New Roman" w:eastAsia="宋体" w:cs="Times New Roman"/>
                <w:sz w:val="21"/>
                <w:szCs w:val="21"/>
              </w:rPr>
              <w:t>8）</w:t>
            </w:r>
          </w:p>
        </w:tc>
        <w:tc>
          <w:tcPr>
            <w:tcW w:w="878" w:type="pct"/>
            <w:shd w:val="clear" w:color="auto" w:fill="auto"/>
            <w:vAlign w:val="center"/>
          </w:tcPr>
          <w:p w14:paraId="66559EC0">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辽宁东北丰</w:t>
            </w:r>
          </w:p>
        </w:tc>
        <w:tc>
          <w:tcPr>
            <w:tcW w:w="878" w:type="pct"/>
            <w:shd w:val="clear" w:color="auto" w:fill="auto"/>
            <w:vAlign w:val="center"/>
          </w:tcPr>
          <w:p w14:paraId="0AE98971">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26-11-12</w:t>
            </w:r>
          </w:p>
        </w:tc>
        <w:tc>
          <w:tcPr>
            <w:tcW w:w="950" w:type="pct"/>
            <w:shd w:val="clear" w:color="auto" w:fill="auto"/>
            <w:vAlign w:val="center"/>
          </w:tcPr>
          <w:p w14:paraId="27968939">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w:t>
            </w:r>
          </w:p>
        </w:tc>
        <w:tc>
          <w:tcPr>
            <w:tcW w:w="586" w:type="pct"/>
            <w:shd w:val="clear" w:color="auto" w:fill="auto"/>
            <w:vAlign w:val="center"/>
          </w:tcPr>
          <w:p w14:paraId="7D12659F">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69" w:type="pct"/>
            <w:shd w:val="clear" w:color="auto" w:fill="auto"/>
            <w:vAlign w:val="center"/>
          </w:tcPr>
          <w:p w14:paraId="439CF878">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0.0070 </w:t>
            </w:r>
          </w:p>
        </w:tc>
        <w:tc>
          <w:tcPr>
            <w:tcW w:w="550" w:type="pct"/>
            <w:shd w:val="clear" w:color="auto" w:fill="auto"/>
            <w:vAlign w:val="center"/>
          </w:tcPr>
          <w:p w14:paraId="51F916C3">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p>
        </w:tc>
      </w:tr>
      <w:tr w14:paraId="1A2C0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4490D5BE">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19</w:t>
            </w:r>
            <w:r>
              <w:rPr>
                <w:rFonts w:ascii="Times New Roman" w:hAnsi="Times New Roman" w:eastAsia="宋体" w:cs="Times New Roman"/>
                <w:sz w:val="21"/>
                <w:szCs w:val="21"/>
              </w:rPr>
              <w:t>）</w:t>
            </w:r>
          </w:p>
        </w:tc>
        <w:tc>
          <w:tcPr>
            <w:tcW w:w="878" w:type="pct"/>
            <w:shd w:val="clear" w:color="auto" w:fill="auto"/>
            <w:vAlign w:val="center"/>
          </w:tcPr>
          <w:p w14:paraId="28A9C059">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黑益旺</w:t>
            </w:r>
          </w:p>
        </w:tc>
        <w:tc>
          <w:tcPr>
            <w:tcW w:w="878" w:type="pct"/>
            <w:shd w:val="clear" w:color="auto" w:fill="auto"/>
            <w:vAlign w:val="center"/>
          </w:tcPr>
          <w:p w14:paraId="1DBA3CB1">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15-15-15</w:t>
            </w:r>
          </w:p>
        </w:tc>
        <w:tc>
          <w:tcPr>
            <w:tcW w:w="950" w:type="pct"/>
            <w:shd w:val="clear" w:color="auto" w:fill="auto"/>
            <w:vAlign w:val="center"/>
          </w:tcPr>
          <w:p w14:paraId="5F736A0E">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i w:val="0"/>
                <w:iCs w:val="0"/>
                <w:color w:val="FF0000"/>
                <w:kern w:val="0"/>
                <w:sz w:val="21"/>
                <w:szCs w:val="21"/>
                <w:u w:val="none"/>
                <w:lang w:val="en-US" w:eastAsia="zh-CN" w:bidi="ar"/>
              </w:rPr>
            </w:pPr>
            <w:r>
              <w:rPr>
                <w:rFonts w:hint="eastAsia" w:ascii="宋体" w:hAnsi="宋体" w:eastAsia="宋体" w:cs="宋体"/>
                <w:i w:val="0"/>
                <w:iCs w:val="0"/>
                <w:color w:val="FF0000"/>
                <w:kern w:val="0"/>
                <w:sz w:val="21"/>
                <w:szCs w:val="21"/>
                <w:u w:val="none"/>
                <w:lang w:val="en-US" w:eastAsia="zh-CN" w:bidi="ar"/>
              </w:rPr>
              <w:t>原料</w:t>
            </w:r>
          </w:p>
        </w:tc>
        <w:tc>
          <w:tcPr>
            <w:tcW w:w="586" w:type="pct"/>
            <w:shd w:val="clear" w:color="auto" w:fill="auto"/>
            <w:vAlign w:val="center"/>
          </w:tcPr>
          <w:p w14:paraId="685F3CE0">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FF0000"/>
                <w:kern w:val="0"/>
                <w:sz w:val="21"/>
                <w:szCs w:val="21"/>
                <w:u w:val="none"/>
                <w:lang w:val="en-US" w:eastAsia="zh-CN" w:bidi="ar"/>
              </w:rPr>
            </w:pPr>
            <w:r>
              <w:rPr>
                <w:rFonts w:hint="eastAsia" w:ascii="Times New Roman" w:hAnsi="Times New Roman" w:eastAsia="宋体" w:cs="Times New Roman"/>
                <w:i w:val="0"/>
                <w:iCs w:val="0"/>
                <w:color w:val="FF0000"/>
                <w:kern w:val="0"/>
                <w:sz w:val="21"/>
                <w:szCs w:val="21"/>
                <w:u w:val="none"/>
                <w:lang w:val="en-US" w:eastAsia="zh-CN" w:bidi="ar"/>
              </w:rPr>
              <w:t>-</w:t>
            </w:r>
          </w:p>
        </w:tc>
        <w:tc>
          <w:tcPr>
            <w:tcW w:w="569" w:type="pct"/>
            <w:shd w:val="clear" w:color="auto" w:fill="auto"/>
            <w:vAlign w:val="center"/>
          </w:tcPr>
          <w:p w14:paraId="51E768AA">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FF0000"/>
                <w:kern w:val="0"/>
                <w:sz w:val="21"/>
                <w:szCs w:val="21"/>
                <w:u w:val="none"/>
                <w:lang w:val="en-US" w:eastAsia="zh-CN" w:bidi="ar"/>
              </w:rPr>
            </w:pPr>
            <w:r>
              <w:rPr>
                <w:rFonts w:hint="default" w:ascii="Times New Roman" w:hAnsi="Times New Roman" w:eastAsia="宋体" w:cs="Times New Roman"/>
                <w:i w:val="0"/>
                <w:iCs w:val="0"/>
                <w:color w:val="FF0000"/>
                <w:kern w:val="0"/>
                <w:sz w:val="21"/>
                <w:szCs w:val="21"/>
                <w:u w:val="none"/>
                <w:lang w:val="en-US" w:eastAsia="zh-CN" w:bidi="ar"/>
              </w:rPr>
              <w:t xml:space="preserve">0.0089 </w:t>
            </w:r>
          </w:p>
        </w:tc>
        <w:tc>
          <w:tcPr>
            <w:tcW w:w="550" w:type="pct"/>
            <w:shd w:val="clear" w:color="auto" w:fill="auto"/>
            <w:vAlign w:val="center"/>
          </w:tcPr>
          <w:p w14:paraId="0F9E9339">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p>
        </w:tc>
      </w:tr>
      <w:tr w14:paraId="69854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440B0D4E">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20</w:t>
            </w:r>
            <w:r>
              <w:rPr>
                <w:rFonts w:ascii="Times New Roman" w:hAnsi="Times New Roman" w:eastAsia="宋体" w:cs="Times New Roman"/>
                <w:sz w:val="21"/>
                <w:szCs w:val="21"/>
              </w:rPr>
              <w:t>）</w:t>
            </w:r>
          </w:p>
        </w:tc>
        <w:tc>
          <w:tcPr>
            <w:tcW w:w="878" w:type="pct"/>
            <w:shd w:val="clear" w:color="auto" w:fill="auto"/>
            <w:vAlign w:val="center"/>
          </w:tcPr>
          <w:p w14:paraId="041C8732">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黑益旺</w:t>
            </w:r>
          </w:p>
        </w:tc>
        <w:tc>
          <w:tcPr>
            <w:tcW w:w="878" w:type="pct"/>
            <w:shd w:val="clear" w:color="auto" w:fill="auto"/>
            <w:vAlign w:val="center"/>
          </w:tcPr>
          <w:p w14:paraId="29311414">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15-15-15</w:t>
            </w:r>
          </w:p>
        </w:tc>
        <w:tc>
          <w:tcPr>
            <w:tcW w:w="950" w:type="pct"/>
            <w:shd w:val="clear" w:color="auto" w:fill="auto"/>
            <w:vAlign w:val="center"/>
          </w:tcPr>
          <w:p w14:paraId="42ED5CBE">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w:t>
            </w:r>
          </w:p>
        </w:tc>
        <w:tc>
          <w:tcPr>
            <w:tcW w:w="586" w:type="pct"/>
            <w:shd w:val="clear" w:color="auto" w:fill="auto"/>
            <w:vAlign w:val="center"/>
          </w:tcPr>
          <w:p w14:paraId="6136D454">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69" w:type="pct"/>
            <w:shd w:val="clear" w:color="auto" w:fill="auto"/>
            <w:vAlign w:val="center"/>
          </w:tcPr>
          <w:p w14:paraId="50963CAB">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0.0117 </w:t>
            </w:r>
          </w:p>
        </w:tc>
        <w:tc>
          <w:tcPr>
            <w:tcW w:w="550" w:type="pct"/>
            <w:shd w:val="clear" w:color="auto" w:fill="auto"/>
            <w:vAlign w:val="center"/>
          </w:tcPr>
          <w:p w14:paraId="4D8B6B65">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p>
        </w:tc>
      </w:tr>
      <w:tr w14:paraId="1B084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16AB4298">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21</w:t>
            </w:r>
            <w:r>
              <w:rPr>
                <w:rFonts w:hint="eastAsia" w:ascii="Times New Roman" w:hAnsi="Times New Roman" w:eastAsia="宋体" w:cs="Times New Roman"/>
                <w:sz w:val="21"/>
                <w:szCs w:val="21"/>
              </w:rPr>
              <w:t>）</w:t>
            </w:r>
          </w:p>
        </w:tc>
        <w:tc>
          <w:tcPr>
            <w:tcW w:w="878" w:type="pct"/>
            <w:shd w:val="clear" w:color="auto" w:fill="auto"/>
            <w:vAlign w:val="center"/>
          </w:tcPr>
          <w:p w14:paraId="25A32323">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浙江巨龙</w:t>
            </w:r>
          </w:p>
        </w:tc>
        <w:tc>
          <w:tcPr>
            <w:tcW w:w="878" w:type="pct"/>
            <w:shd w:val="clear" w:color="auto" w:fill="auto"/>
            <w:vAlign w:val="center"/>
          </w:tcPr>
          <w:p w14:paraId="770BB5F8">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26-11-11</w:t>
            </w:r>
          </w:p>
        </w:tc>
        <w:tc>
          <w:tcPr>
            <w:tcW w:w="950" w:type="pct"/>
            <w:shd w:val="clear" w:color="auto" w:fill="auto"/>
            <w:vAlign w:val="center"/>
          </w:tcPr>
          <w:p w14:paraId="3F19715D">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86" w:type="pct"/>
            <w:shd w:val="clear" w:color="auto" w:fill="auto"/>
            <w:vAlign w:val="center"/>
          </w:tcPr>
          <w:p w14:paraId="4E005809">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69" w:type="pct"/>
            <w:shd w:val="clear" w:color="auto" w:fill="auto"/>
            <w:vAlign w:val="center"/>
          </w:tcPr>
          <w:p w14:paraId="41A1ACCD">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0.0693 </w:t>
            </w:r>
          </w:p>
        </w:tc>
        <w:tc>
          <w:tcPr>
            <w:tcW w:w="550" w:type="pct"/>
            <w:shd w:val="clear" w:color="auto" w:fill="auto"/>
            <w:vAlign w:val="center"/>
          </w:tcPr>
          <w:p w14:paraId="23A61BBB">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0.0027</w:t>
            </w:r>
          </w:p>
        </w:tc>
      </w:tr>
      <w:tr w14:paraId="00B88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39EF0300">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22</w:t>
            </w:r>
            <w:r>
              <w:rPr>
                <w:rFonts w:hint="eastAsia" w:ascii="Times New Roman" w:hAnsi="Times New Roman" w:eastAsia="宋体" w:cs="Times New Roman"/>
                <w:sz w:val="21"/>
                <w:szCs w:val="21"/>
              </w:rPr>
              <w:t>）</w:t>
            </w:r>
          </w:p>
        </w:tc>
        <w:tc>
          <w:tcPr>
            <w:tcW w:w="878" w:type="pct"/>
            <w:shd w:val="clear" w:color="auto" w:fill="auto"/>
            <w:vAlign w:val="center"/>
          </w:tcPr>
          <w:p w14:paraId="36C47E83">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浙江巨龙</w:t>
            </w:r>
          </w:p>
        </w:tc>
        <w:tc>
          <w:tcPr>
            <w:tcW w:w="878" w:type="pct"/>
            <w:shd w:val="clear" w:color="auto" w:fill="auto"/>
            <w:vAlign w:val="center"/>
          </w:tcPr>
          <w:p w14:paraId="2E6AFFF7">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16-16-16</w:t>
            </w:r>
          </w:p>
        </w:tc>
        <w:tc>
          <w:tcPr>
            <w:tcW w:w="950" w:type="pct"/>
            <w:shd w:val="clear" w:color="auto" w:fill="auto"/>
            <w:vAlign w:val="center"/>
          </w:tcPr>
          <w:p w14:paraId="19A18A04">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86" w:type="pct"/>
            <w:shd w:val="clear" w:color="auto" w:fill="auto"/>
            <w:vAlign w:val="center"/>
          </w:tcPr>
          <w:p w14:paraId="192A153F">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0.0344</w:t>
            </w:r>
          </w:p>
        </w:tc>
        <w:tc>
          <w:tcPr>
            <w:tcW w:w="569" w:type="pct"/>
            <w:shd w:val="clear" w:color="auto" w:fill="auto"/>
            <w:vAlign w:val="center"/>
          </w:tcPr>
          <w:p w14:paraId="1920080B">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0.0240 </w:t>
            </w:r>
          </w:p>
        </w:tc>
        <w:tc>
          <w:tcPr>
            <w:tcW w:w="550" w:type="pct"/>
            <w:shd w:val="clear" w:color="auto" w:fill="auto"/>
            <w:vAlign w:val="center"/>
          </w:tcPr>
          <w:p w14:paraId="290E2660">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0.0003</w:t>
            </w:r>
          </w:p>
        </w:tc>
      </w:tr>
      <w:tr w14:paraId="53E19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76838484">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w:t>
            </w:r>
            <w:r>
              <w:rPr>
                <w:rFonts w:ascii="Times New Roman" w:hAnsi="Times New Roman" w:eastAsia="宋体" w:cs="Times New Roman"/>
                <w:sz w:val="21"/>
                <w:szCs w:val="21"/>
              </w:rPr>
              <w:t>3）</w:t>
            </w:r>
          </w:p>
        </w:tc>
        <w:tc>
          <w:tcPr>
            <w:tcW w:w="878" w:type="pct"/>
            <w:shd w:val="clear" w:color="auto" w:fill="auto"/>
            <w:vAlign w:val="center"/>
          </w:tcPr>
          <w:p w14:paraId="36328E68">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浙江巨龙</w:t>
            </w:r>
          </w:p>
        </w:tc>
        <w:tc>
          <w:tcPr>
            <w:tcW w:w="878" w:type="pct"/>
            <w:shd w:val="clear" w:color="auto" w:fill="auto"/>
            <w:vAlign w:val="center"/>
          </w:tcPr>
          <w:p w14:paraId="5EA432DD">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14-8-23</w:t>
            </w:r>
          </w:p>
        </w:tc>
        <w:tc>
          <w:tcPr>
            <w:tcW w:w="950" w:type="pct"/>
            <w:shd w:val="clear" w:color="auto" w:fill="auto"/>
            <w:vAlign w:val="center"/>
          </w:tcPr>
          <w:p w14:paraId="6F03ED65">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86" w:type="pct"/>
            <w:shd w:val="clear" w:color="auto" w:fill="auto"/>
            <w:vAlign w:val="center"/>
          </w:tcPr>
          <w:p w14:paraId="24A199BA">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69" w:type="pct"/>
            <w:shd w:val="clear" w:color="auto" w:fill="auto"/>
            <w:vAlign w:val="center"/>
          </w:tcPr>
          <w:p w14:paraId="7E54C4F7">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0.0495 </w:t>
            </w:r>
          </w:p>
        </w:tc>
        <w:tc>
          <w:tcPr>
            <w:tcW w:w="550" w:type="pct"/>
            <w:shd w:val="clear" w:color="auto" w:fill="auto"/>
            <w:vAlign w:val="center"/>
          </w:tcPr>
          <w:p w14:paraId="2A2139A2">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0.0020</w:t>
            </w:r>
          </w:p>
        </w:tc>
      </w:tr>
      <w:tr w14:paraId="19683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0B9A2EE6">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24</w:t>
            </w:r>
            <w:r>
              <w:rPr>
                <w:rFonts w:ascii="Times New Roman" w:hAnsi="Times New Roman" w:eastAsia="宋体" w:cs="Times New Roman"/>
                <w:sz w:val="21"/>
                <w:szCs w:val="21"/>
              </w:rPr>
              <w:t>）</w:t>
            </w:r>
          </w:p>
        </w:tc>
        <w:tc>
          <w:tcPr>
            <w:tcW w:w="878" w:type="pct"/>
            <w:shd w:val="clear" w:color="auto" w:fill="auto"/>
            <w:vAlign w:val="center"/>
          </w:tcPr>
          <w:p w14:paraId="49DAB23F">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金仓四川A</w:t>
            </w:r>
          </w:p>
        </w:tc>
        <w:tc>
          <w:tcPr>
            <w:tcW w:w="878" w:type="pct"/>
            <w:shd w:val="clear" w:color="auto" w:fill="auto"/>
            <w:vAlign w:val="center"/>
          </w:tcPr>
          <w:p w14:paraId="6C64D951">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FF0000"/>
                <w:kern w:val="0"/>
                <w:sz w:val="21"/>
                <w:szCs w:val="21"/>
                <w:u w:val="none"/>
                <w:lang w:val="en-US" w:eastAsia="zh-CN" w:bidi="ar"/>
              </w:rPr>
            </w:pPr>
            <w:r>
              <w:rPr>
                <w:rFonts w:hint="eastAsia" w:ascii="宋体" w:hAnsi="宋体" w:eastAsia="宋体" w:cs="宋体"/>
                <w:i w:val="0"/>
                <w:iCs w:val="0"/>
                <w:color w:val="FF0000"/>
                <w:kern w:val="0"/>
                <w:sz w:val="21"/>
                <w:szCs w:val="21"/>
                <w:u w:val="none"/>
                <w:lang w:val="en-US" w:eastAsia="zh-CN" w:bidi="ar"/>
              </w:rPr>
              <w:t>15-15-23</w:t>
            </w:r>
          </w:p>
          <w:p w14:paraId="46007856">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FF0000"/>
                <w:kern w:val="0"/>
                <w:sz w:val="21"/>
                <w:szCs w:val="21"/>
                <w:u w:val="none"/>
                <w:lang w:val="en-US" w:eastAsia="zh-CN" w:bidi="ar"/>
              </w:rPr>
            </w:pPr>
            <w:r>
              <w:rPr>
                <w:rFonts w:hint="eastAsia" w:ascii="宋体" w:hAnsi="宋体" w:eastAsia="宋体" w:cs="宋体"/>
                <w:i w:val="0"/>
                <w:iCs w:val="0"/>
                <w:color w:val="FF0000"/>
                <w:kern w:val="0"/>
                <w:sz w:val="21"/>
                <w:szCs w:val="21"/>
                <w:u w:val="none"/>
                <w:lang w:val="en-US" w:eastAsia="zh-CN" w:bidi="ar"/>
              </w:rPr>
              <w:t>尿基复合肥</w:t>
            </w:r>
          </w:p>
        </w:tc>
        <w:tc>
          <w:tcPr>
            <w:tcW w:w="950" w:type="pct"/>
            <w:shd w:val="clear" w:color="auto" w:fill="auto"/>
            <w:vAlign w:val="center"/>
          </w:tcPr>
          <w:p w14:paraId="5DC6BDA4">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DMPP:0.037%</w:t>
            </w:r>
          </w:p>
        </w:tc>
        <w:tc>
          <w:tcPr>
            <w:tcW w:w="586" w:type="pct"/>
            <w:shd w:val="clear" w:color="auto" w:fill="auto"/>
            <w:vAlign w:val="center"/>
          </w:tcPr>
          <w:p w14:paraId="606FE826">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0.0956</w:t>
            </w:r>
          </w:p>
        </w:tc>
        <w:tc>
          <w:tcPr>
            <w:tcW w:w="569" w:type="pct"/>
            <w:shd w:val="clear" w:color="auto" w:fill="auto"/>
            <w:vAlign w:val="center"/>
          </w:tcPr>
          <w:p w14:paraId="56CB6AEA">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0.0471 </w:t>
            </w:r>
          </w:p>
        </w:tc>
        <w:tc>
          <w:tcPr>
            <w:tcW w:w="550" w:type="pct"/>
            <w:shd w:val="clear" w:color="auto" w:fill="auto"/>
            <w:vAlign w:val="center"/>
          </w:tcPr>
          <w:p w14:paraId="7199D95B">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5B638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405C3B63">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w:t>
            </w:r>
            <w:r>
              <w:rPr>
                <w:rFonts w:ascii="Times New Roman" w:hAnsi="Times New Roman" w:eastAsia="宋体" w:cs="Times New Roman"/>
                <w:sz w:val="21"/>
                <w:szCs w:val="21"/>
              </w:rPr>
              <w:t>5）</w:t>
            </w:r>
          </w:p>
        </w:tc>
        <w:tc>
          <w:tcPr>
            <w:tcW w:w="878" w:type="pct"/>
            <w:shd w:val="clear" w:color="auto" w:fill="auto"/>
            <w:vAlign w:val="center"/>
          </w:tcPr>
          <w:p w14:paraId="29ED2082">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金仓广东A</w:t>
            </w:r>
          </w:p>
        </w:tc>
        <w:tc>
          <w:tcPr>
            <w:tcW w:w="878" w:type="pct"/>
            <w:shd w:val="clear" w:color="auto" w:fill="auto"/>
            <w:vAlign w:val="center"/>
          </w:tcPr>
          <w:p w14:paraId="3667612B">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复合肥</w:t>
            </w:r>
          </w:p>
        </w:tc>
        <w:tc>
          <w:tcPr>
            <w:tcW w:w="950" w:type="pct"/>
            <w:shd w:val="clear" w:color="auto" w:fill="auto"/>
            <w:vAlign w:val="center"/>
          </w:tcPr>
          <w:p w14:paraId="3BFD93CE">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DMPP:0.025%</w:t>
            </w:r>
          </w:p>
        </w:tc>
        <w:tc>
          <w:tcPr>
            <w:tcW w:w="586" w:type="pct"/>
            <w:shd w:val="clear" w:color="auto" w:fill="auto"/>
            <w:vAlign w:val="center"/>
          </w:tcPr>
          <w:p w14:paraId="4C3F294E">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0.0572</w:t>
            </w:r>
          </w:p>
        </w:tc>
        <w:tc>
          <w:tcPr>
            <w:tcW w:w="569" w:type="pct"/>
            <w:shd w:val="clear" w:color="auto" w:fill="auto"/>
            <w:vAlign w:val="center"/>
          </w:tcPr>
          <w:p w14:paraId="74342BFF">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0.0763 </w:t>
            </w:r>
          </w:p>
        </w:tc>
        <w:tc>
          <w:tcPr>
            <w:tcW w:w="550" w:type="pct"/>
            <w:shd w:val="clear" w:color="auto" w:fill="auto"/>
            <w:vAlign w:val="center"/>
          </w:tcPr>
          <w:p w14:paraId="6A4678BE">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1F191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398CD242">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w:t>
            </w:r>
            <w:r>
              <w:rPr>
                <w:rFonts w:ascii="Times New Roman" w:hAnsi="Times New Roman" w:eastAsia="宋体" w:cs="Times New Roman"/>
                <w:sz w:val="21"/>
                <w:szCs w:val="21"/>
              </w:rPr>
              <w:t>6）</w:t>
            </w:r>
          </w:p>
        </w:tc>
        <w:tc>
          <w:tcPr>
            <w:tcW w:w="878" w:type="pct"/>
            <w:shd w:val="clear" w:color="auto" w:fill="auto"/>
            <w:vAlign w:val="center"/>
          </w:tcPr>
          <w:p w14:paraId="1C00980B">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金仓湖北B</w:t>
            </w:r>
          </w:p>
        </w:tc>
        <w:tc>
          <w:tcPr>
            <w:tcW w:w="878" w:type="pct"/>
            <w:shd w:val="clear" w:color="auto" w:fill="auto"/>
            <w:vAlign w:val="center"/>
          </w:tcPr>
          <w:p w14:paraId="1E3F54EA">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FF0000"/>
                <w:kern w:val="0"/>
                <w:sz w:val="21"/>
                <w:szCs w:val="21"/>
                <w:u w:val="none"/>
                <w:lang w:val="en-US" w:eastAsia="zh-CN" w:bidi="ar"/>
              </w:rPr>
              <w:t>复合肥</w:t>
            </w:r>
          </w:p>
        </w:tc>
        <w:tc>
          <w:tcPr>
            <w:tcW w:w="950" w:type="pct"/>
            <w:shd w:val="clear" w:color="auto" w:fill="auto"/>
            <w:vAlign w:val="center"/>
          </w:tcPr>
          <w:p w14:paraId="13F3CE90">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DMPP:0.04%</w:t>
            </w:r>
          </w:p>
        </w:tc>
        <w:tc>
          <w:tcPr>
            <w:tcW w:w="586" w:type="pct"/>
            <w:shd w:val="clear" w:color="auto" w:fill="auto"/>
            <w:vAlign w:val="center"/>
          </w:tcPr>
          <w:p w14:paraId="1C34A6E5">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0.0496</w:t>
            </w:r>
          </w:p>
        </w:tc>
        <w:tc>
          <w:tcPr>
            <w:tcW w:w="569" w:type="pct"/>
            <w:shd w:val="clear" w:color="auto" w:fill="auto"/>
            <w:vAlign w:val="center"/>
          </w:tcPr>
          <w:p w14:paraId="3B9A643A">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0.0343 </w:t>
            </w:r>
          </w:p>
        </w:tc>
        <w:tc>
          <w:tcPr>
            <w:tcW w:w="550" w:type="pct"/>
            <w:shd w:val="clear" w:color="auto" w:fill="auto"/>
            <w:vAlign w:val="center"/>
          </w:tcPr>
          <w:p w14:paraId="47268A9F">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6621A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0DA0B0D5">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w:t>
            </w:r>
            <w:r>
              <w:rPr>
                <w:rFonts w:hint="eastAsia" w:ascii="Times New Roman" w:hAnsi="Times New Roman" w:eastAsia="宋体" w:cs="Times New Roman"/>
                <w:sz w:val="21"/>
                <w:szCs w:val="21"/>
              </w:rPr>
              <w:t>7）</w:t>
            </w:r>
          </w:p>
        </w:tc>
        <w:tc>
          <w:tcPr>
            <w:tcW w:w="878" w:type="pct"/>
            <w:shd w:val="clear" w:color="auto" w:fill="auto"/>
            <w:vAlign w:val="center"/>
          </w:tcPr>
          <w:p w14:paraId="524EB670">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金仓湖北A</w:t>
            </w:r>
          </w:p>
        </w:tc>
        <w:tc>
          <w:tcPr>
            <w:tcW w:w="878" w:type="pct"/>
            <w:shd w:val="clear" w:color="auto" w:fill="auto"/>
            <w:vAlign w:val="center"/>
          </w:tcPr>
          <w:p w14:paraId="1C2DD66F">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FF0000"/>
                <w:kern w:val="0"/>
                <w:sz w:val="21"/>
                <w:szCs w:val="21"/>
                <w:u w:val="none"/>
                <w:lang w:val="en-US" w:eastAsia="zh-CN" w:bidi="ar"/>
              </w:rPr>
            </w:pPr>
            <w:r>
              <w:rPr>
                <w:rFonts w:hint="eastAsia" w:ascii="宋体" w:hAnsi="宋体" w:eastAsia="宋体" w:cs="宋体"/>
                <w:i w:val="0"/>
                <w:iCs w:val="0"/>
                <w:color w:val="FF0000"/>
                <w:kern w:val="0"/>
                <w:sz w:val="21"/>
                <w:szCs w:val="21"/>
                <w:u w:val="none"/>
                <w:lang w:val="en-US" w:eastAsia="zh-CN" w:bidi="ar"/>
              </w:rPr>
              <w:t xml:space="preserve">13-6-29 </w:t>
            </w:r>
          </w:p>
          <w:p w14:paraId="748E1A6B">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FF0000"/>
                <w:kern w:val="0"/>
                <w:sz w:val="21"/>
                <w:szCs w:val="21"/>
                <w:u w:val="none"/>
                <w:lang w:val="en-US" w:eastAsia="zh-CN" w:bidi="ar"/>
              </w:rPr>
            </w:pPr>
            <w:r>
              <w:rPr>
                <w:rFonts w:hint="eastAsia" w:ascii="宋体" w:hAnsi="宋体" w:eastAsia="宋体" w:cs="宋体"/>
                <w:i w:val="0"/>
                <w:iCs w:val="0"/>
                <w:color w:val="FF0000"/>
                <w:kern w:val="0"/>
                <w:sz w:val="21"/>
                <w:szCs w:val="21"/>
                <w:u w:val="none"/>
                <w:lang w:val="en-US" w:eastAsia="zh-CN" w:bidi="ar"/>
              </w:rPr>
              <w:t>硝基复合肥</w:t>
            </w:r>
          </w:p>
        </w:tc>
        <w:tc>
          <w:tcPr>
            <w:tcW w:w="950" w:type="pct"/>
            <w:shd w:val="clear" w:color="auto" w:fill="auto"/>
            <w:vAlign w:val="center"/>
          </w:tcPr>
          <w:p w14:paraId="76FD62B5">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DMPP:0.05%</w:t>
            </w:r>
          </w:p>
        </w:tc>
        <w:tc>
          <w:tcPr>
            <w:tcW w:w="586" w:type="pct"/>
            <w:shd w:val="clear" w:color="auto" w:fill="auto"/>
            <w:vAlign w:val="center"/>
          </w:tcPr>
          <w:p w14:paraId="3BB1356E">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0.1974</w:t>
            </w:r>
          </w:p>
        </w:tc>
        <w:tc>
          <w:tcPr>
            <w:tcW w:w="569" w:type="pct"/>
            <w:shd w:val="clear" w:color="auto" w:fill="auto"/>
            <w:vAlign w:val="center"/>
          </w:tcPr>
          <w:p w14:paraId="55B967ED">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0.3003 </w:t>
            </w:r>
          </w:p>
        </w:tc>
        <w:tc>
          <w:tcPr>
            <w:tcW w:w="550" w:type="pct"/>
            <w:shd w:val="clear" w:color="auto" w:fill="auto"/>
            <w:vAlign w:val="center"/>
          </w:tcPr>
          <w:p w14:paraId="0A135704">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54D8B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371F37E3">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w:t>
            </w:r>
            <w:r>
              <w:rPr>
                <w:rFonts w:hint="eastAsia" w:ascii="Times New Roman" w:hAnsi="Times New Roman" w:eastAsia="宋体" w:cs="Times New Roman"/>
                <w:sz w:val="21"/>
                <w:szCs w:val="21"/>
              </w:rPr>
              <w:t>8）</w:t>
            </w:r>
          </w:p>
        </w:tc>
        <w:tc>
          <w:tcPr>
            <w:tcW w:w="878" w:type="pct"/>
            <w:shd w:val="clear" w:color="auto" w:fill="auto"/>
            <w:vAlign w:val="center"/>
          </w:tcPr>
          <w:p w14:paraId="34764E47">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天宝丰</w:t>
            </w:r>
          </w:p>
        </w:tc>
        <w:tc>
          <w:tcPr>
            <w:tcW w:w="878" w:type="pct"/>
            <w:shd w:val="clear" w:color="auto" w:fill="auto"/>
            <w:vAlign w:val="center"/>
          </w:tcPr>
          <w:p w14:paraId="7D38A2DC">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22-8-10</w:t>
            </w:r>
          </w:p>
        </w:tc>
        <w:tc>
          <w:tcPr>
            <w:tcW w:w="950" w:type="pct"/>
            <w:shd w:val="clear" w:color="auto" w:fill="auto"/>
            <w:vAlign w:val="center"/>
          </w:tcPr>
          <w:p w14:paraId="5BF3ACA5">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default"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color w:val="FF0000"/>
                <w:kern w:val="2"/>
                <w:sz w:val="21"/>
                <w:szCs w:val="21"/>
                <w:lang w:val="en-US" w:eastAsia="zh-CN" w:bidi="ar-SA"/>
              </w:rPr>
              <w:t>原料</w:t>
            </w:r>
          </w:p>
        </w:tc>
        <w:tc>
          <w:tcPr>
            <w:tcW w:w="586" w:type="pct"/>
            <w:shd w:val="clear" w:color="auto" w:fill="auto"/>
            <w:vAlign w:val="center"/>
          </w:tcPr>
          <w:p w14:paraId="25C08209">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FF0000"/>
                <w:kern w:val="0"/>
                <w:sz w:val="21"/>
                <w:szCs w:val="21"/>
                <w:u w:val="none"/>
                <w:lang w:val="en-US" w:eastAsia="zh-CN" w:bidi="ar"/>
              </w:rPr>
            </w:pPr>
            <w:r>
              <w:rPr>
                <w:rFonts w:hint="eastAsia" w:ascii="Times New Roman" w:hAnsi="Times New Roman" w:eastAsia="宋体" w:cs="Times New Roman"/>
                <w:i w:val="0"/>
                <w:iCs w:val="0"/>
                <w:color w:val="FF0000"/>
                <w:kern w:val="0"/>
                <w:sz w:val="21"/>
                <w:szCs w:val="21"/>
                <w:u w:val="none"/>
                <w:lang w:val="en-US" w:eastAsia="zh-CN" w:bidi="ar"/>
              </w:rPr>
              <w:t>-</w:t>
            </w:r>
          </w:p>
        </w:tc>
        <w:tc>
          <w:tcPr>
            <w:tcW w:w="569" w:type="pct"/>
            <w:shd w:val="clear" w:color="auto" w:fill="auto"/>
            <w:vAlign w:val="center"/>
          </w:tcPr>
          <w:p w14:paraId="1A9727EE">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FF0000"/>
                <w:kern w:val="0"/>
                <w:sz w:val="21"/>
                <w:szCs w:val="21"/>
                <w:u w:val="none"/>
                <w:lang w:val="en-US" w:eastAsia="zh-CN" w:bidi="ar"/>
              </w:rPr>
            </w:pPr>
            <w:r>
              <w:rPr>
                <w:rFonts w:hint="default" w:ascii="Times New Roman" w:hAnsi="Times New Roman" w:eastAsia="宋体" w:cs="Times New Roman"/>
                <w:i w:val="0"/>
                <w:iCs w:val="0"/>
                <w:color w:val="FF0000"/>
                <w:kern w:val="0"/>
                <w:sz w:val="21"/>
                <w:szCs w:val="21"/>
                <w:u w:val="none"/>
                <w:lang w:val="en-US" w:eastAsia="zh-CN" w:bidi="ar"/>
              </w:rPr>
              <w:t xml:space="preserve">0.0138 </w:t>
            </w:r>
          </w:p>
        </w:tc>
        <w:tc>
          <w:tcPr>
            <w:tcW w:w="550" w:type="pct"/>
            <w:shd w:val="clear" w:color="auto" w:fill="auto"/>
            <w:vAlign w:val="center"/>
          </w:tcPr>
          <w:p w14:paraId="724C4F35">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6BC7D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02C68686">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29</w:t>
            </w:r>
            <w:r>
              <w:rPr>
                <w:rFonts w:ascii="Times New Roman" w:hAnsi="Times New Roman" w:eastAsia="宋体" w:cs="Times New Roman"/>
                <w:sz w:val="21"/>
                <w:szCs w:val="21"/>
              </w:rPr>
              <w:t>）</w:t>
            </w:r>
          </w:p>
        </w:tc>
        <w:tc>
          <w:tcPr>
            <w:tcW w:w="878" w:type="pct"/>
            <w:shd w:val="clear" w:color="auto" w:fill="auto"/>
            <w:vAlign w:val="center"/>
          </w:tcPr>
          <w:p w14:paraId="33713FC9">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天宝丰</w:t>
            </w:r>
          </w:p>
        </w:tc>
        <w:tc>
          <w:tcPr>
            <w:tcW w:w="878" w:type="pct"/>
            <w:shd w:val="clear" w:color="auto" w:fill="auto"/>
            <w:vAlign w:val="center"/>
          </w:tcPr>
          <w:p w14:paraId="3DEC2544">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22-8-10</w:t>
            </w:r>
          </w:p>
        </w:tc>
        <w:tc>
          <w:tcPr>
            <w:tcW w:w="950" w:type="pct"/>
            <w:shd w:val="clear" w:color="auto" w:fill="auto"/>
            <w:vAlign w:val="center"/>
          </w:tcPr>
          <w:p w14:paraId="5ED6AB47">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86" w:type="pct"/>
            <w:shd w:val="clear" w:color="auto" w:fill="auto"/>
            <w:vAlign w:val="center"/>
          </w:tcPr>
          <w:p w14:paraId="3D047B6E">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69" w:type="pct"/>
            <w:shd w:val="clear" w:color="auto" w:fill="auto"/>
            <w:vAlign w:val="center"/>
          </w:tcPr>
          <w:p w14:paraId="2FFD849E">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0.0149 </w:t>
            </w:r>
          </w:p>
        </w:tc>
        <w:tc>
          <w:tcPr>
            <w:tcW w:w="550" w:type="pct"/>
            <w:shd w:val="clear" w:color="auto" w:fill="auto"/>
            <w:vAlign w:val="center"/>
          </w:tcPr>
          <w:p w14:paraId="034B93DA">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55F33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648F14A7">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30</w:t>
            </w:r>
            <w:r>
              <w:rPr>
                <w:rFonts w:ascii="Times New Roman" w:hAnsi="Times New Roman" w:eastAsia="宋体" w:cs="Times New Roman"/>
                <w:sz w:val="21"/>
                <w:szCs w:val="21"/>
              </w:rPr>
              <w:t>）</w:t>
            </w:r>
          </w:p>
        </w:tc>
        <w:tc>
          <w:tcPr>
            <w:tcW w:w="878" w:type="pct"/>
            <w:shd w:val="clear" w:color="auto" w:fill="auto"/>
            <w:vAlign w:val="center"/>
          </w:tcPr>
          <w:p w14:paraId="3E06238B">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蓝天宝丰</w:t>
            </w:r>
          </w:p>
        </w:tc>
        <w:tc>
          <w:tcPr>
            <w:tcW w:w="878" w:type="pct"/>
            <w:shd w:val="clear" w:color="auto" w:fill="auto"/>
            <w:vAlign w:val="center"/>
          </w:tcPr>
          <w:p w14:paraId="3BD85E37">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20-5-7</w:t>
            </w:r>
          </w:p>
        </w:tc>
        <w:tc>
          <w:tcPr>
            <w:tcW w:w="950" w:type="pct"/>
            <w:shd w:val="clear" w:color="auto" w:fill="auto"/>
            <w:vAlign w:val="center"/>
          </w:tcPr>
          <w:p w14:paraId="22377680">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color w:val="FF0000"/>
                <w:kern w:val="2"/>
                <w:sz w:val="21"/>
                <w:szCs w:val="21"/>
                <w:lang w:val="en-US" w:eastAsia="zh-CN" w:bidi="ar-SA"/>
              </w:rPr>
              <w:t>原料</w:t>
            </w:r>
          </w:p>
        </w:tc>
        <w:tc>
          <w:tcPr>
            <w:tcW w:w="586" w:type="pct"/>
            <w:shd w:val="clear" w:color="auto" w:fill="auto"/>
            <w:vAlign w:val="center"/>
          </w:tcPr>
          <w:p w14:paraId="024467E0">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i w:val="0"/>
                <w:iCs w:val="0"/>
                <w:color w:val="FF0000"/>
                <w:kern w:val="0"/>
                <w:sz w:val="21"/>
                <w:szCs w:val="21"/>
                <w:u w:val="none"/>
                <w:lang w:val="en-US" w:eastAsia="zh-CN" w:bidi="ar"/>
              </w:rPr>
              <w:t>-</w:t>
            </w:r>
          </w:p>
        </w:tc>
        <w:tc>
          <w:tcPr>
            <w:tcW w:w="569" w:type="pct"/>
            <w:shd w:val="clear" w:color="auto" w:fill="auto"/>
            <w:vAlign w:val="center"/>
          </w:tcPr>
          <w:p w14:paraId="3F0882FB">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FF0000"/>
                <w:kern w:val="0"/>
                <w:sz w:val="21"/>
                <w:szCs w:val="21"/>
                <w:u w:val="none"/>
                <w:lang w:val="en-US" w:eastAsia="zh-CN" w:bidi="ar"/>
              </w:rPr>
            </w:pPr>
            <w:r>
              <w:rPr>
                <w:rFonts w:hint="default" w:ascii="Times New Roman" w:hAnsi="Times New Roman" w:eastAsia="宋体" w:cs="Times New Roman"/>
                <w:i w:val="0"/>
                <w:iCs w:val="0"/>
                <w:color w:val="FF0000"/>
                <w:kern w:val="0"/>
                <w:sz w:val="21"/>
                <w:szCs w:val="21"/>
                <w:u w:val="none"/>
                <w:lang w:val="en-US" w:eastAsia="zh-CN" w:bidi="ar"/>
              </w:rPr>
              <w:t xml:space="preserve">0.0080 </w:t>
            </w:r>
          </w:p>
        </w:tc>
        <w:tc>
          <w:tcPr>
            <w:tcW w:w="550" w:type="pct"/>
            <w:shd w:val="clear" w:color="auto" w:fill="auto"/>
            <w:vAlign w:val="center"/>
          </w:tcPr>
          <w:p w14:paraId="7FB3657A">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2ACA6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7BBFB108">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31</w:t>
            </w:r>
            <w:r>
              <w:rPr>
                <w:rFonts w:ascii="Times New Roman" w:hAnsi="Times New Roman" w:eastAsia="宋体" w:cs="Times New Roman"/>
                <w:sz w:val="21"/>
                <w:szCs w:val="21"/>
              </w:rPr>
              <w:t>）</w:t>
            </w:r>
          </w:p>
        </w:tc>
        <w:tc>
          <w:tcPr>
            <w:tcW w:w="878" w:type="pct"/>
            <w:shd w:val="clear" w:color="auto" w:fill="auto"/>
            <w:vAlign w:val="center"/>
          </w:tcPr>
          <w:p w14:paraId="1439ABC5">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蓝天宝丰</w:t>
            </w:r>
          </w:p>
        </w:tc>
        <w:tc>
          <w:tcPr>
            <w:tcW w:w="878" w:type="pct"/>
            <w:shd w:val="clear" w:color="auto" w:fill="auto"/>
            <w:vAlign w:val="center"/>
          </w:tcPr>
          <w:p w14:paraId="7F4CD49A">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20-5-7</w:t>
            </w:r>
          </w:p>
        </w:tc>
        <w:tc>
          <w:tcPr>
            <w:tcW w:w="950" w:type="pct"/>
            <w:shd w:val="clear" w:color="auto" w:fill="auto"/>
            <w:vAlign w:val="center"/>
          </w:tcPr>
          <w:p w14:paraId="284001C2">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86" w:type="pct"/>
            <w:shd w:val="clear" w:color="auto" w:fill="auto"/>
            <w:vAlign w:val="center"/>
          </w:tcPr>
          <w:p w14:paraId="590920AB">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69" w:type="pct"/>
            <w:shd w:val="clear" w:color="auto" w:fill="auto"/>
            <w:vAlign w:val="center"/>
          </w:tcPr>
          <w:p w14:paraId="1805DA0B">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50" w:type="pct"/>
            <w:shd w:val="clear" w:color="auto" w:fill="auto"/>
            <w:vAlign w:val="center"/>
          </w:tcPr>
          <w:p w14:paraId="5F82E9BF">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3C742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199A7ABE">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3</w:t>
            </w:r>
            <w:r>
              <w:rPr>
                <w:rFonts w:ascii="Times New Roman" w:hAnsi="Times New Roman" w:eastAsia="宋体" w:cs="Times New Roman"/>
                <w:sz w:val="21"/>
                <w:szCs w:val="21"/>
              </w:rPr>
              <w:t>2）</w:t>
            </w:r>
          </w:p>
        </w:tc>
        <w:tc>
          <w:tcPr>
            <w:tcW w:w="878" w:type="pct"/>
            <w:shd w:val="clear" w:color="auto" w:fill="auto"/>
            <w:vAlign w:val="center"/>
          </w:tcPr>
          <w:p w14:paraId="79E39895">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中嘉化肥</w:t>
            </w:r>
          </w:p>
        </w:tc>
        <w:tc>
          <w:tcPr>
            <w:tcW w:w="878" w:type="pct"/>
            <w:shd w:val="clear" w:color="auto" w:fill="auto"/>
            <w:vAlign w:val="center"/>
          </w:tcPr>
          <w:p w14:paraId="4C27F1CA">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26-10-12</w:t>
            </w:r>
          </w:p>
        </w:tc>
        <w:tc>
          <w:tcPr>
            <w:tcW w:w="950" w:type="pct"/>
            <w:shd w:val="clear" w:color="auto" w:fill="auto"/>
            <w:vAlign w:val="center"/>
          </w:tcPr>
          <w:p w14:paraId="4B668FAB">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86" w:type="pct"/>
            <w:shd w:val="clear" w:color="auto" w:fill="auto"/>
            <w:vAlign w:val="center"/>
          </w:tcPr>
          <w:p w14:paraId="3E911066">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69" w:type="pct"/>
            <w:shd w:val="clear" w:color="auto" w:fill="auto"/>
            <w:vAlign w:val="center"/>
          </w:tcPr>
          <w:p w14:paraId="535A69E4">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50" w:type="pct"/>
            <w:shd w:val="clear" w:color="auto" w:fill="auto"/>
            <w:vAlign w:val="center"/>
          </w:tcPr>
          <w:p w14:paraId="51192B61">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2DA6F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00605D32">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3</w:t>
            </w:r>
            <w:r>
              <w:rPr>
                <w:rFonts w:ascii="Times New Roman" w:hAnsi="Times New Roman" w:eastAsia="宋体" w:cs="Times New Roman"/>
                <w:sz w:val="21"/>
                <w:szCs w:val="21"/>
              </w:rPr>
              <w:t>3）</w:t>
            </w:r>
          </w:p>
        </w:tc>
        <w:tc>
          <w:tcPr>
            <w:tcW w:w="878" w:type="pct"/>
            <w:shd w:val="clear" w:color="auto" w:fill="auto"/>
            <w:vAlign w:val="center"/>
          </w:tcPr>
          <w:p w14:paraId="18D31BC5">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中嘉化肥</w:t>
            </w:r>
          </w:p>
        </w:tc>
        <w:tc>
          <w:tcPr>
            <w:tcW w:w="878" w:type="pct"/>
            <w:shd w:val="clear" w:color="auto" w:fill="auto"/>
            <w:vAlign w:val="center"/>
          </w:tcPr>
          <w:p w14:paraId="73C3BA6E">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26-10-12</w:t>
            </w:r>
          </w:p>
        </w:tc>
        <w:tc>
          <w:tcPr>
            <w:tcW w:w="950" w:type="pct"/>
            <w:shd w:val="clear" w:color="auto" w:fill="auto"/>
            <w:vAlign w:val="center"/>
          </w:tcPr>
          <w:p w14:paraId="3A55E825">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color w:val="FF0000"/>
                <w:kern w:val="2"/>
                <w:sz w:val="21"/>
                <w:szCs w:val="21"/>
                <w:lang w:val="en-US" w:eastAsia="zh-CN" w:bidi="ar-SA"/>
              </w:rPr>
              <w:t>原料</w:t>
            </w:r>
          </w:p>
        </w:tc>
        <w:tc>
          <w:tcPr>
            <w:tcW w:w="586" w:type="pct"/>
            <w:shd w:val="clear" w:color="auto" w:fill="auto"/>
            <w:vAlign w:val="center"/>
          </w:tcPr>
          <w:p w14:paraId="54B5EF8E">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FF0000"/>
                <w:kern w:val="0"/>
                <w:sz w:val="21"/>
                <w:szCs w:val="21"/>
                <w:u w:val="none"/>
                <w:lang w:val="en-US" w:eastAsia="zh-CN" w:bidi="ar"/>
              </w:rPr>
            </w:pPr>
            <w:r>
              <w:rPr>
                <w:rFonts w:hint="eastAsia" w:ascii="Times New Roman" w:hAnsi="Times New Roman" w:eastAsia="宋体" w:cs="Times New Roman"/>
                <w:i w:val="0"/>
                <w:iCs w:val="0"/>
                <w:color w:val="FF0000"/>
                <w:kern w:val="0"/>
                <w:sz w:val="21"/>
                <w:szCs w:val="21"/>
                <w:u w:val="none"/>
                <w:lang w:val="en-US" w:eastAsia="zh-CN" w:bidi="ar"/>
              </w:rPr>
              <w:t>-</w:t>
            </w:r>
          </w:p>
        </w:tc>
        <w:tc>
          <w:tcPr>
            <w:tcW w:w="569" w:type="pct"/>
            <w:shd w:val="clear" w:color="auto" w:fill="auto"/>
            <w:vAlign w:val="center"/>
          </w:tcPr>
          <w:p w14:paraId="59B2B197">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FF0000"/>
                <w:kern w:val="0"/>
                <w:sz w:val="21"/>
                <w:szCs w:val="21"/>
                <w:u w:val="none"/>
                <w:lang w:val="en-US" w:eastAsia="zh-CN" w:bidi="ar"/>
              </w:rPr>
            </w:pPr>
            <w:r>
              <w:rPr>
                <w:rFonts w:hint="eastAsia" w:ascii="Times New Roman" w:hAnsi="Times New Roman" w:eastAsia="宋体" w:cs="Times New Roman"/>
                <w:i w:val="0"/>
                <w:iCs w:val="0"/>
                <w:color w:val="FF0000"/>
                <w:kern w:val="0"/>
                <w:sz w:val="21"/>
                <w:szCs w:val="21"/>
                <w:u w:val="none"/>
                <w:lang w:val="en-US" w:eastAsia="zh-CN" w:bidi="ar"/>
              </w:rPr>
              <w:t>0.0120</w:t>
            </w:r>
          </w:p>
        </w:tc>
        <w:tc>
          <w:tcPr>
            <w:tcW w:w="550" w:type="pct"/>
            <w:shd w:val="clear" w:color="auto" w:fill="auto"/>
            <w:vAlign w:val="center"/>
          </w:tcPr>
          <w:p w14:paraId="691207D6">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65CE2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00E3D0A3">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3</w:t>
            </w:r>
            <w:r>
              <w:rPr>
                <w:rFonts w:ascii="Times New Roman" w:hAnsi="Times New Roman" w:eastAsia="宋体" w:cs="Times New Roman"/>
                <w:sz w:val="21"/>
                <w:szCs w:val="21"/>
              </w:rPr>
              <w:t>4）</w:t>
            </w:r>
          </w:p>
        </w:tc>
        <w:tc>
          <w:tcPr>
            <w:tcW w:w="878" w:type="pct"/>
            <w:shd w:val="clear" w:color="auto" w:fill="auto"/>
            <w:vAlign w:val="center"/>
          </w:tcPr>
          <w:p w14:paraId="229A04C5">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山东祥云</w:t>
            </w:r>
          </w:p>
        </w:tc>
        <w:tc>
          <w:tcPr>
            <w:tcW w:w="878" w:type="pct"/>
            <w:shd w:val="clear" w:color="auto" w:fill="auto"/>
            <w:vAlign w:val="center"/>
          </w:tcPr>
          <w:p w14:paraId="6487165E">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26-10-12</w:t>
            </w:r>
          </w:p>
        </w:tc>
        <w:tc>
          <w:tcPr>
            <w:tcW w:w="950" w:type="pct"/>
            <w:shd w:val="clear" w:color="auto" w:fill="auto"/>
            <w:vAlign w:val="center"/>
          </w:tcPr>
          <w:p w14:paraId="50488EB5">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86" w:type="pct"/>
            <w:shd w:val="clear" w:color="auto" w:fill="auto"/>
            <w:vAlign w:val="center"/>
          </w:tcPr>
          <w:p w14:paraId="4D2CBBFD">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69" w:type="pct"/>
            <w:shd w:val="clear" w:color="auto" w:fill="auto"/>
            <w:vAlign w:val="center"/>
          </w:tcPr>
          <w:p w14:paraId="424BB97A">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50" w:type="pct"/>
            <w:shd w:val="clear" w:color="auto" w:fill="auto"/>
            <w:vAlign w:val="center"/>
          </w:tcPr>
          <w:p w14:paraId="496CD10E">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3157B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532BA3E5">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3</w:t>
            </w:r>
            <w:r>
              <w:rPr>
                <w:rFonts w:ascii="Times New Roman" w:hAnsi="Times New Roman" w:eastAsia="宋体" w:cs="Times New Roman"/>
                <w:sz w:val="21"/>
                <w:szCs w:val="21"/>
              </w:rPr>
              <w:t>5）</w:t>
            </w:r>
          </w:p>
        </w:tc>
        <w:tc>
          <w:tcPr>
            <w:tcW w:w="878" w:type="pct"/>
            <w:shd w:val="clear" w:color="auto" w:fill="auto"/>
            <w:vAlign w:val="center"/>
          </w:tcPr>
          <w:p w14:paraId="1812740A">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山东祥云</w:t>
            </w:r>
          </w:p>
        </w:tc>
        <w:tc>
          <w:tcPr>
            <w:tcW w:w="878" w:type="pct"/>
            <w:shd w:val="clear" w:color="auto" w:fill="auto"/>
            <w:vAlign w:val="center"/>
          </w:tcPr>
          <w:p w14:paraId="6DAF7EDE">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26-10-12</w:t>
            </w:r>
          </w:p>
        </w:tc>
        <w:tc>
          <w:tcPr>
            <w:tcW w:w="950" w:type="pct"/>
            <w:shd w:val="clear" w:color="auto" w:fill="auto"/>
            <w:vAlign w:val="center"/>
          </w:tcPr>
          <w:p w14:paraId="23F6BBB8">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color w:val="FF0000"/>
                <w:kern w:val="2"/>
                <w:sz w:val="21"/>
                <w:szCs w:val="21"/>
                <w:lang w:val="en-US" w:eastAsia="zh-CN" w:bidi="ar-SA"/>
              </w:rPr>
              <w:t>原料</w:t>
            </w:r>
          </w:p>
        </w:tc>
        <w:tc>
          <w:tcPr>
            <w:tcW w:w="586" w:type="pct"/>
            <w:shd w:val="clear" w:color="auto" w:fill="auto"/>
            <w:vAlign w:val="center"/>
          </w:tcPr>
          <w:p w14:paraId="462A53F5">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FF0000"/>
                <w:kern w:val="0"/>
                <w:sz w:val="21"/>
                <w:szCs w:val="21"/>
                <w:u w:val="none"/>
                <w:lang w:val="en-US" w:eastAsia="zh-CN" w:bidi="ar"/>
              </w:rPr>
            </w:pPr>
            <w:r>
              <w:rPr>
                <w:rFonts w:hint="eastAsia" w:ascii="Times New Roman" w:hAnsi="Times New Roman" w:eastAsia="宋体" w:cs="Times New Roman"/>
                <w:i w:val="0"/>
                <w:iCs w:val="0"/>
                <w:color w:val="FF0000"/>
                <w:kern w:val="0"/>
                <w:sz w:val="21"/>
                <w:szCs w:val="21"/>
                <w:u w:val="none"/>
                <w:lang w:val="en-US" w:eastAsia="zh-CN" w:bidi="ar"/>
              </w:rPr>
              <w:t>0.0171</w:t>
            </w:r>
          </w:p>
        </w:tc>
        <w:tc>
          <w:tcPr>
            <w:tcW w:w="569" w:type="pct"/>
            <w:shd w:val="clear" w:color="auto" w:fill="auto"/>
            <w:vAlign w:val="center"/>
          </w:tcPr>
          <w:p w14:paraId="46941FE6">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50" w:type="pct"/>
            <w:shd w:val="clear" w:color="auto" w:fill="auto"/>
            <w:vAlign w:val="center"/>
          </w:tcPr>
          <w:p w14:paraId="35C2219D">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55E3C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08270861">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3</w:t>
            </w:r>
            <w:r>
              <w:rPr>
                <w:rFonts w:ascii="Times New Roman" w:hAnsi="Times New Roman" w:eastAsia="宋体" w:cs="Times New Roman"/>
                <w:sz w:val="21"/>
                <w:szCs w:val="21"/>
              </w:rPr>
              <w:t>6）</w:t>
            </w:r>
          </w:p>
        </w:tc>
        <w:tc>
          <w:tcPr>
            <w:tcW w:w="878" w:type="pct"/>
            <w:shd w:val="clear" w:color="auto" w:fill="auto"/>
            <w:vAlign w:val="center"/>
          </w:tcPr>
          <w:p w14:paraId="5E86030E">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中科国投</w:t>
            </w:r>
          </w:p>
        </w:tc>
        <w:tc>
          <w:tcPr>
            <w:tcW w:w="878" w:type="pct"/>
            <w:shd w:val="clear" w:color="auto" w:fill="auto"/>
            <w:vAlign w:val="center"/>
          </w:tcPr>
          <w:p w14:paraId="43F35DC2">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26-10-12</w:t>
            </w:r>
          </w:p>
        </w:tc>
        <w:tc>
          <w:tcPr>
            <w:tcW w:w="950" w:type="pct"/>
            <w:shd w:val="clear" w:color="auto" w:fill="auto"/>
            <w:vAlign w:val="center"/>
          </w:tcPr>
          <w:p w14:paraId="57662FDE">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color w:val="FF0000"/>
                <w:kern w:val="2"/>
                <w:sz w:val="21"/>
                <w:szCs w:val="21"/>
                <w:lang w:val="en-US" w:eastAsia="zh-CN" w:bidi="ar-SA"/>
              </w:rPr>
              <w:t>原料</w:t>
            </w:r>
          </w:p>
        </w:tc>
        <w:tc>
          <w:tcPr>
            <w:tcW w:w="586" w:type="pct"/>
            <w:shd w:val="clear" w:color="auto" w:fill="auto"/>
            <w:vAlign w:val="center"/>
          </w:tcPr>
          <w:p w14:paraId="3FC96F2E">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i w:val="0"/>
                <w:iCs w:val="0"/>
                <w:color w:val="FF0000"/>
                <w:kern w:val="0"/>
                <w:sz w:val="21"/>
                <w:szCs w:val="21"/>
                <w:u w:val="none"/>
                <w:lang w:val="en-US" w:eastAsia="zh-CN" w:bidi="ar"/>
              </w:rPr>
              <w:t>0.0173</w:t>
            </w:r>
          </w:p>
        </w:tc>
        <w:tc>
          <w:tcPr>
            <w:tcW w:w="569" w:type="pct"/>
            <w:shd w:val="clear" w:color="auto" w:fill="auto"/>
            <w:vAlign w:val="center"/>
          </w:tcPr>
          <w:p w14:paraId="00546CA2">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50" w:type="pct"/>
            <w:shd w:val="clear" w:color="auto" w:fill="auto"/>
            <w:vAlign w:val="center"/>
          </w:tcPr>
          <w:p w14:paraId="5823932C">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27AFF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5B602802">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3</w:t>
            </w:r>
            <w:r>
              <w:rPr>
                <w:rFonts w:hint="eastAsia" w:ascii="Times New Roman" w:hAnsi="Times New Roman" w:eastAsia="宋体" w:cs="Times New Roman"/>
                <w:sz w:val="21"/>
                <w:szCs w:val="21"/>
              </w:rPr>
              <w:t>7）</w:t>
            </w:r>
          </w:p>
        </w:tc>
        <w:tc>
          <w:tcPr>
            <w:tcW w:w="878" w:type="pct"/>
            <w:shd w:val="clear" w:color="auto" w:fill="auto"/>
            <w:vAlign w:val="center"/>
          </w:tcPr>
          <w:p w14:paraId="38FEC652">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中科国投</w:t>
            </w:r>
          </w:p>
        </w:tc>
        <w:tc>
          <w:tcPr>
            <w:tcW w:w="878" w:type="pct"/>
            <w:shd w:val="clear" w:color="auto" w:fill="auto"/>
            <w:vAlign w:val="center"/>
          </w:tcPr>
          <w:p w14:paraId="2CA8C2E1">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26-10-12</w:t>
            </w:r>
          </w:p>
        </w:tc>
        <w:tc>
          <w:tcPr>
            <w:tcW w:w="950" w:type="pct"/>
            <w:shd w:val="clear" w:color="auto" w:fill="auto"/>
            <w:vAlign w:val="center"/>
          </w:tcPr>
          <w:p w14:paraId="02DDF34C">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86" w:type="pct"/>
            <w:shd w:val="clear" w:color="auto" w:fill="auto"/>
            <w:vAlign w:val="center"/>
          </w:tcPr>
          <w:p w14:paraId="375AD7A9">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69" w:type="pct"/>
            <w:shd w:val="clear" w:color="auto" w:fill="auto"/>
            <w:vAlign w:val="center"/>
          </w:tcPr>
          <w:p w14:paraId="28193451">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50" w:type="pct"/>
            <w:shd w:val="clear" w:color="auto" w:fill="auto"/>
            <w:vAlign w:val="center"/>
          </w:tcPr>
          <w:p w14:paraId="7405C358">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2DAB7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0F0C868F">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3</w:t>
            </w:r>
            <w:r>
              <w:rPr>
                <w:rFonts w:hint="eastAsia" w:ascii="Times New Roman" w:hAnsi="Times New Roman" w:eastAsia="宋体" w:cs="Times New Roman"/>
                <w:sz w:val="21"/>
                <w:szCs w:val="21"/>
              </w:rPr>
              <w:t>8）</w:t>
            </w:r>
          </w:p>
        </w:tc>
        <w:tc>
          <w:tcPr>
            <w:tcW w:w="878" w:type="pct"/>
            <w:shd w:val="clear" w:color="auto" w:fill="auto"/>
            <w:vAlign w:val="center"/>
          </w:tcPr>
          <w:p w14:paraId="1A1D2E1E">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东北丰</w:t>
            </w:r>
          </w:p>
        </w:tc>
        <w:tc>
          <w:tcPr>
            <w:tcW w:w="878" w:type="pct"/>
            <w:shd w:val="clear" w:color="auto" w:fill="auto"/>
            <w:vAlign w:val="center"/>
          </w:tcPr>
          <w:p w14:paraId="31080856">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26-11-11</w:t>
            </w:r>
          </w:p>
        </w:tc>
        <w:tc>
          <w:tcPr>
            <w:tcW w:w="950" w:type="pct"/>
            <w:shd w:val="clear" w:color="auto" w:fill="auto"/>
            <w:vAlign w:val="center"/>
          </w:tcPr>
          <w:p w14:paraId="5B565659">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86" w:type="pct"/>
            <w:shd w:val="clear" w:color="auto" w:fill="auto"/>
            <w:vAlign w:val="center"/>
          </w:tcPr>
          <w:p w14:paraId="7DD9CCDB">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69" w:type="pct"/>
            <w:shd w:val="clear" w:color="auto" w:fill="auto"/>
            <w:vAlign w:val="center"/>
          </w:tcPr>
          <w:p w14:paraId="1FD25090">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0.0086</w:t>
            </w:r>
          </w:p>
        </w:tc>
        <w:tc>
          <w:tcPr>
            <w:tcW w:w="550" w:type="pct"/>
            <w:shd w:val="clear" w:color="auto" w:fill="auto"/>
            <w:vAlign w:val="center"/>
          </w:tcPr>
          <w:p w14:paraId="7FDF4F44">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2F269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19260A2B">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39</w:t>
            </w:r>
            <w:r>
              <w:rPr>
                <w:rFonts w:ascii="Times New Roman" w:hAnsi="Times New Roman" w:eastAsia="宋体" w:cs="Times New Roman"/>
                <w:sz w:val="21"/>
                <w:szCs w:val="21"/>
              </w:rPr>
              <w:t>）</w:t>
            </w:r>
          </w:p>
        </w:tc>
        <w:tc>
          <w:tcPr>
            <w:tcW w:w="878" w:type="pct"/>
            <w:shd w:val="clear" w:color="auto" w:fill="auto"/>
            <w:vAlign w:val="center"/>
          </w:tcPr>
          <w:p w14:paraId="17D53215">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东北丰</w:t>
            </w:r>
          </w:p>
        </w:tc>
        <w:tc>
          <w:tcPr>
            <w:tcW w:w="878" w:type="pct"/>
            <w:shd w:val="clear" w:color="auto" w:fill="auto"/>
            <w:vAlign w:val="center"/>
          </w:tcPr>
          <w:p w14:paraId="6D7AD866">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26-11-11</w:t>
            </w:r>
          </w:p>
        </w:tc>
        <w:tc>
          <w:tcPr>
            <w:tcW w:w="950" w:type="pct"/>
            <w:shd w:val="clear" w:color="auto" w:fill="auto"/>
            <w:vAlign w:val="center"/>
          </w:tcPr>
          <w:p w14:paraId="2540C34E">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color w:val="FF0000"/>
                <w:kern w:val="2"/>
                <w:sz w:val="21"/>
                <w:szCs w:val="21"/>
                <w:lang w:val="en-US" w:eastAsia="zh-CN" w:bidi="ar-SA"/>
              </w:rPr>
              <w:t>原料</w:t>
            </w:r>
          </w:p>
        </w:tc>
        <w:tc>
          <w:tcPr>
            <w:tcW w:w="586" w:type="pct"/>
            <w:shd w:val="clear" w:color="auto" w:fill="auto"/>
            <w:vAlign w:val="center"/>
          </w:tcPr>
          <w:p w14:paraId="6C0BD1BC">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color w:val="FF0000"/>
                <w:kern w:val="2"/>
                <w:sz w:val="21"/>
                <w:szCs w:val="21"/>
                <w:lang w:val="en-US" w:eastAsia="zh-CN" w:bidi="ar-SA"/>
              </w:rPr>
            </w:pPr>
            <w:r>
              <w:rPr>
                <w:rFonts w:hint="default" w:ascii="Times New Roman" w:hAnsi="Times New Roman" w:eastAsia="宋体" w:cs="Times New Roman"/>
                <w:i w:val="0"/>
                <w:iCs w:val="0"/>
                <w:color w:val="FF0000"/>
                <w:kern w:val="0"/>
                <w:sz w:val="21"/>
                <w:szCs w:val="21"/>
                <w:u w:val="none"/>
                <w:lang w:val="en-US" w:eastAsia="zh-CN" w:bidi="ar"/>
              </w:rPr>
              <w:t>0.</w:t>
            </w:r>
            <w:r>
              <w:rPr>
                <w:rFonts w:hint="eastAsia" w:ascii="Times New Roman" w:hAnsi="Times New Roman" w:eastAsia="宋体" w:cs="Times New Roman"/>
                <w:i w:val="0"/>
                <w:iCs w:val="0"/>
                <w:color w:val="FF0000"/>
                <w:kern w:val="0"/>
                <w:sz w:val="21"/>
                <w:szCs w:val="21"/>
                <w:u w:val="none"/>
                <w:lang w:val="en-US" w:eastAsia="zh-CN" w:bidi="ar"/>
              </w:rPr>
              <w:t>0</w:t>
            </w:r>
            <w:r>
              <w:rPr>
                <w:rFonts w:hint="default" w:ascii="Times New Roman" w:hAnsi="Times New Roman" w:eastAsia="宋体" w:cs="Times New Roman"/>
                <w:i w:val="0"/>
                <w:iCs w:val="0"/>
                <w:color w:val="FF0000"/>
                <w:kern w:val="0"/>
                <w:sz w:val="21"/>
                <w:szCs w:val="21"/>
                <w:u w:val="none"/>
                <w:lang w:val="en-US" w:eastAsia="zh-CN" w:bidi="ar"/>
              </w:rPr>
              <w:t>15</w:t>
            </w:r>
            <w:r>
              <w:rPr>
                <w:rFonts w:hint="eastAsia" w:ascii="Times New Roman" w:hAnsi="Times New Roman" w:eastAsia="宋体" w:cs="Times New Roman"/>
                <w:i w:val="0"/>
                <w:iCs w:val="0"/>
                <w:color w:val="FF0000"/>
                <w:kern w:val="0"/>
                <w:sz w:val="21"/>
                <w:szCs w:val="21"/>
                <w:u w:val="none"/>
                <w:lang w:val="en-US" w:eastAsia="zh-CN" w:bidi="ar"/>
              </w:rPr>
              <w:t>4</w:t>
            </w:r>
          </w:p>
        </w:tc>
        <w:tc>
          <w:tcPr>
            <w:tcW w:w="569" w:type="pct"/>
            <w:shd w:val="clear" w:color="auto" w:fill="auto"/>
            <w:vAlign w:val="center"/>
          </w:tcPr>
          <w:p w14:paraId="0A8F9DB4">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50" w:type="pct"/>
            <w:shd w:val="clear" w:color="auto" w:fill="auto"/>
            <w:vAlign w:val="center"/>
          </w:tcPr>
          <w:p w14:paraId="3F7CB311">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24A84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0C38908D">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40</w:t>
            </w:r>
            <w:r>
              <w:rPr>
                <w:rFonts w:ascii="Times New Roman" w:hAnsi="Times New Roman" w:eastAsia="宋体" w:cs="Times New Roman"/>
                <w:sz w:val="21"/>
                <w:szCs w:val="21"/>
              </w:rPr>
              <w:t>）</w:t>
            </w:r>
          </w:p>
        </w:tc>
        <w:tc>
          <w:tcPr>
            <w:tcW w:w="878" w:type="pct"/>
            <w:shd w:val="clear" w:color="auto" w:fill="auto"/>
            <w:vAlign w:val="center"/>
          </w:tcPr>
          <w:p w14:paraId="5FAF3867">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爱农</w:t>
            </w:r>
          </w:p>
        </w:tc>
        <w:tc>
          <w:tcPr>
            <w:tcW w:w="878" w:type="pct"/>
            <w:shd w:val="clear" w:color="auto" w:fill="auto"/>
            <w:vAlign w:val="center"/>
          </w:tcPr>
          <w:p w14:paraId="4F236C2F">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25-11-11</w:t>
            </w:r>
          </w:p>
        </w:tc>
        <w:tc>
          <w:tcPr>
            <w:tcW w:w="950" w:type="pct"/>
            <w:shd w:val="clear" w:color="auto" w:fill="auto"/>
            <w:vAlign w:val="center"/>
          </w:tcPr>
          <w:p w14:paraId="324F5A34">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86" w:type="pct"/>
            <w:shd w:val="clear" w:color="auto" w:fill="auto"/>
            <w:vAlign w:val="center"/>
          </w:tcPr>
          <w:p w14:paraId="522B263E">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69" w:type="pct"/>
            <w:shd w:val="clear" w:color="auto" w:fill="auto"/>
            <w:vAlign w:val="center"/>
          </w:tcPr>
          <w:p w14:paraId="7581AD81">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50" w:type="pct"/>
            <w:shd w:val="clear" w:color="auto" w:fill="auto"/>
            <w:vAlign w:val="center"/>
          </w:tcPr>
          <w:p w14:paraId="7D2E87B2">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488D3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537B876E">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4</w:t>
            </w:r>
            <w:r>
              <w:rPr>
                <w:rFonts w:ascii="Times New Roman" w:hAnsi="Times New Roman" w:eastAsia="宋体" w:cs="Times New Roman"/>
                <w:sz w:val="21"/>
                <w:szCs w:val="21"/>
              </w:rPr>
              <w:t>1）</w:t>
            </w:r>
          </w:p>
        </w:tc>
        <w:tc>
          <w:tcPr>
            <w:tcW w:w="878" w:type="pct"/>
            <w:shd w:val="clear" w:color="auto" w:fill="auto"/>
            <w:vAlign w:val="center"/>
          </w:tcPr>
          <w:p w14:paraId="55E9C637">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中嘉化肥</w:t>
            </w:r>
          </w:p>
        </w:tc>
        <w:tc>
          <w:tcPr>
            <w:tcW w:w="878" w:type="pct"/>
            <w:shd w:val="clear" w:color="auto" w:fill="auto"/>
            <w:vAlign w:val="center"/>
          </w:tcPr>
          <w:p w14:paraId="0F79C342">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26-10-12</w:t>
            </w:r>
          </w:p>
        </w:tc>
        <w:tc>
          <w:tcPr>
            <w:tcW w:w="950" w:type="pct"/>
            <w:shd w:val="clear" w:color="auto" w:fill="auto"/>
            <w:vAlign w:val="center"/>
          </w:tcPr>
          <w:p w14:paraId="21B0F229">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86" w:type="pct"/>
            <w:shd w:val="clear" w:color="auto" w:fill="auto"/>
            <w:vAlign w:val="center"/>
          </w:tcPr>
          <w:p w14:paraId="0CC20C78">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69" w:type="pct"/>
            <w:shd w:val="clear" w:color="auto" w:fill="auto"/>
            <w:vAlign w:val="center"/>
          </w:tcPr>
          <w:p w14:paraId="68CC574C">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50" w:type="pct"/>
            <w:shd w:val="clear" w:color="auto" w:fill="auto"/>
            <w:vAlign w:val="center"/>
          </w:tcPr>
          <w:p w14:paraId="34C54098">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6549D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0587D8A3">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4</w:t>
            </w:r>
            <w:r>
              <w:rPr>
                <w:rFonts w:ascii="Times New Roman" w:hAnsi="Times New Roman" w:eastAsia="宋体" w:cs="Times New Roman"/>
                <w:sz w:val="21"/>
                <w:szCs w:val="21"/>
              </w:rPr>
              <w:t>2）</w:t>
            </w:r>
          </w:p>
        </w:tc>
        <w:tc>
          <w:tcPr>
            <w:tcW w:w="878" w:type="pct"/>
            <w:shd w:val="clear" w:color="auto" w:fill="auto"/>
            <w:vAlign w:val="center"/>
          </w:tcPr>
          <w:p w14:paraId="50F9A573">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中嘉化肥</w:t>
            </w:r>
          </w:p>
        </w:tc>
        <w:tc>
          <w:tcPr>
            <w:tcW w:w="878" w:type="pct"/>
            <w:shd w:val="clear" w:color="auto" w:fill="auto"/>
            <w:vAlign w:val="center"/>
          </w:tcPr>
          <w:p w14:paraId="380ECE7F">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26-10-12</w:t>
            </w:r>
          </w:p>
        </w:tc>
        <w:tc>
          <w:tcPr>
            <w:tcW w:w="950" w:type="pct"/>
            <w:shd w:val="clear" w:color="auto" w:fill="auto"/>
            <w:vAlign w:val="center"/>
          </w:tcPr>
          <w:p w14:paraId="0B8F2DE1">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color w:val="FF0000"/>
                <w:kern w:val="2"/>
                <w:sz w:val="21"/>
                <w:szCs w:val="21"/>
                <w:lang w:val="en-US" w:eastAsia="zh-CN" w:bidi="ar-SA"/>
              </w:rPr>
              <w:t>原料</w:t>
            </w:r>
          </w:p>
        </w:tc>
        <w:tc>
          <w:tcPr>
            <w:tcW w:w="586" w:type="pct"/>
            <w:shd w:val="clear" w:color="auto" w:fill="auto"/>
            <w:vAlign w:val="center"/>
          </w:tcPr>
          <w:p w14:paraId="64C6156B">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i w:val="0"/>
                <w:iCs w:val="0"/>
                <w:color w:val="FF0000"/>
                <w:kern w:val="0"/>
                <w:sz w:val="21"/>
                <w:szCs w:val="21"/>
                <w:u w:val="none"/>
                <w:lang w:val="en-US" w:eastAsia="zh-CN" w:bidi="ar"/>
              </w:rPr>
              <w:t>-</w:t>
            </w:r>
          </w:p>
        </w:tc>
        <w:tc>
          <w:tcPr>
            <w:tcW w:w="569" w:type="pct"/>
            <w:shd w:val="clear" w:color="auto" w:fill="auto"/>
            <w:vAlign w:val="center"/>
          </w:tcPr>
          <w:p w14:paraId="38893C37">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FF0000"/>
                <w:kern w:val="0"/>
                <w:sz w:val="21"/>
                <w:szCs w:val="21"/>
                <w:u w:val="none"/>
                <w:lang w:val="en-US" w:eastAsia="zh-CN" w:bidi="ar"/>
              </w:rPr>
            </w:pPr>
            <w:r>
              <w:rPr>
                <w:rFonts w:hint="default" w:ascii="Times New Roman" w:hAnsi="Times New Roman" w:eastAsia="宋体" w:cs="Times New Roman"/>
                <w:i w:val="0"/>
                <w:iCs w:val="0"/>
                <w:color w:val="FF0000"/>
                <w:kern w:val="0"/>
                <w:sz w:val="21"/>
                <w:szCs w:val="21"/>
                <w:u w:val="none"/>
                <w:lang w:val="en-US" w:eastAsia="zh-CN" w:bidi="ar"/>
              </w:rPr>
              <w:t xml:space="preserve">0.0086 </w:t>
            </w:r>
          </w:p>
        </w:tc>
        <w:tc>
          <w:tcPr>
            <w:tcW w:w="550" w:type="pct"/>
            <w:shd w:val="clear" w:color="auto" w:fill="auto"/>
            <w:vAlign w:val="center"/>
          </w:tcPr>
          <w:p w14:paraId="57231F3D">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47E24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4D7AFBD5">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4</w:t>
            </w:r>
            <w:r>
              <w:rPr>
                <w:rFonts w:ascii="Times New Roman" w:hAnsi="Times New Roman" w:eastAsia="宋体" w:cs="Times New Roman"/>
                <w:sz w:val="21"/>
                <w:szCs w:val="21"/>
              </w:rPr>
              <w:t>3）</w:t>
            </w:r>
          </w:p>
        </w:tc>
        <w:tc>
          <w:tcPr>
            <w:tcW w:w="878" w:type="pct"/>
            <w:shd w:val="clear" w:color="auto" w:fill="auto"/>
            <w:vAlign w:val="center"/>
          </w:tcPr>
          <w:p w14:paraId="2E474959">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辽宁凯丰</w:t>
            </w:r>
          </w:p>
        </w:tc>
        <w:tc>
          <w:tcPr>
            <w:tcW w:w="878" w:type="pct"/>
            <w:shd w:val="clear" w:color="auto" w:fill="auto"/>
            <w:vAlign w:val="center"/>
          </w:tcPr>
          <w:p w14:paraId="2C92EACF">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CL25-10-11</w:t>
            </w:r>
          </w:p>
        </w:tc>
        <w:tc>
          <w:tcPr>
            <w:tcW w:w="950" w:type="pct"/>
            <w:shd w:val="clear" w:color="auto" w:fill="auto"/>
            <w:vAlign w:val="center"/>
          </w:tcPr>
          <w:p w14:paraId="1EF374E7">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86" w:type="pct"/>
            <w:shd w:val="clear" w:color="auto" w:fill="auto"/>
            <w:vAlign w:val="center"/>
          </w:tcPr>
          <w:p w14:paraId="7804CE79">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69" w:type="pct"/>
            <w:shd w:val="clear" w:color="auto" w:fill="auto"/>
            <w:vAlign w:val="center"/>
          </w:tcPr>
          <w:p w14:paraId="46DA197F">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0.0102 </w:t>
            </w:r>
          </w:p>
        </w:tc>
        <w:tc>
          <w:tcPr>
            <w:tcW w:w="550" w:type="pct"/>
            <w:shd w:val="clear" w:color="auto" w:fill="auto"/>
            <w:vAlign w:val="center"/>
          </w:tcPr>
          <w:p w14:paraId="1A5BF3A2">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115A2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31B4D4A6">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4</w:t>
            </w:r>
            <w:r>
              <w:rPr>
                <w:rFonts w:ascii="Times New Roman" w:hAnsi="Times New Roman" w:eastAsia="宋体" w:cs="Times New Roman"/>
                <w:sz w:val="21"/>
                <w:szCs w:val="21"/>
              </w:rPr>
              <w:t>4）</w:t>
            </w:r>
          </w:p>
        </w:tc>
        <w:tc>
          <w:tcPr>
            <w:tcW w:w="878" w:type="pct"/>
            <w:shd w:val="clear" w:color="auto" w:fill="auto"/>
            <w:vAlign w:val="center"/>
          </w:tcPr>
          <w:p w14:paraId="29A5F54C">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辽宁凯丰</w:t>
            </w:r>
          </w:p>
        </w:tc>
        <w:tc>
          <w:tcPr>
            <w:tcW w:w="878" w:type="pct"/>
            <w:shd w:val="clear" w:color="auto" w:fill="auto"/>
            <w:vAlign w:val="center"/>
          </w:tcPr>
          <w:p w14:paraId="1429DA2C">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CL25-10-12</w:t>
            </w:r>
          </w:p>
        </w:tc>
        <w:tc>
          <w:tcPr>
            <w:tcW w:w="950" w:type="pct"/>
            <w:shd w:val="clear" w:color="auto" w:fill="auto"/>
            <w:vAlign w:val="center"/>
          </w:tcPr>
          <w:p w14:paraId="6AE5A395">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color w:val="FF0000"/>
                <w:kern w:val="2"/>
                <w:sz w:val="21"/>
                <w:szCs w:val="21"/>
                <w:lang w:val="en-US" w:eastAsia="zh-CN" w:bidi="ar-SA"/>
              </w:rPr>
              <w:t>原料</w:t>
            </w:r>
          </w:p>
        </w:tc>
        <w:tc>
          <w:tcPr>
            <w:tcW w:w="586" w:type="pct"/>
            <w:shd w:val="clear" w:color="auto" w:fill="auto"/>
            <w:vAlign w:val="center"/>
          </w:tcPr>
          <w:p w14:paraId="1BA20DAD">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i w:val="0"/>
                <w:iCs w:val="0"/>
                <w:color w:val="FF0000"/>
                <w:kern w:val="0"/>
                <w:sz w:val="21"/>
                <w:szCs w:val="21"/>
                <w:u w:val="none"/>
                <w:lang w:val="en-US" w:eastAsia="zh-CN" w:bidi="ar"/>
              </w:rPr>
              <w:t>0.0369</w:t>
            </w:r>
          </w:p>
        </w:tc>
        <w:tc>
          <w:tcPr>
            <w:tcW w:w="569" w:type="pct"/>
            <w:shd w:val="clear" w:color="auto" w:fill="auto"/>
            <w:vAlign w:val="center"/>
          </w:tcPr>
          <w:p w14:paraId="0A138925">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FF0000"/>
                <w:kern w:val="0"/>
                <w:sz w:val="21"/>
                <w:szCs w:val="21"/>
                <w:u w:val="none"/>
                <w:lang w:val="en-US" w:eastAsia="zh-CN" w:bidi="ar"/>
              </w:rPr>
              <w:t>0.0101</w:t>
            </w:r>
            <w:r>
              <w:rPr>
                <w:rFonts w:hint="default" w:ascii="Times New Roman" w:hAnsi="Times New Roman" w:eastAsia="宋体" w:cs="Times New Roman"/>
                <w:i w:val="0"/>
                <w:iCs w:val="0"/>
                <w:color w:val="000000"/>
                <w:kern w:val="0"/>
                <w:sz w:val="21"/>
                <w:szCs w:val="21"/>
                <w:u w:val="none"/>
                <w:lang w:val="en-US" w:eastAsia="zh-CN" w:bidi="ar"/>
              </w:rPr>
              <w:t xml:space="preserve"> </w:t>
            </w:r>
          </w:p>
        </w:tc>
        <w:tc>
          <w:tcPr>
            <w:tcW w:w="550" w:type="pct"/>
            <w:shd w:val="clear" w:color="auto" w:fill="auto"/>
            <w:vAlign w:val="center"/>
          </w:tcPr>
          <w:p w14:paraId="0303DB97">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04EED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0A2A93E2">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4</w:t>
            </w:r>
            <w:r>
              <w:rPr>
                <w:rFonts w:ascii="Times New Roman" w:hAnsi="Times New Roman" w:eastAsia="宋体" w:cs="Times New Roman"/>
                <w:sz w:val="21"/>
                <w:szCs w:val="21"/>
              </w:rPr>
              <w:t>5）</w:t>
            </w:r>
          </w:p>
        </w:tc>
        <w:tc>
          <w:tcPr>
            <w:tcW w:w="878" w:type="pct"/>
            <w:shd w:val="clear" w:color="auto" w:fill="auto"/>
            <w:vAlign w:val="center"/>
          </w:tcPr>
          <w:p w14:paraId="3ABB423D">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农家乐</w:t>
            </w:r>
          </w:p>
        </w:tc>
        <w:tc>
          <w:tcPr>
            <w:tcW w:w="878" w:type="pct"/>
            <w:shd w:val="clear" w:color="auto" w:fill="auto"/>
            <w:vAlign w:val="center"/>
          </w:tcPr>
          <w:p w14:paraId="5DF994A3">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25-5-5</w:t>
            </w:r>
          </w:p>
        </w:tc>
        <w:tc>
          <w:tcPr>
            <w:tcW w:w="950" w:type="pct"/>
            <w:shd w:val="clear" w:color="auto" w:fill="auto"/>
            <w:vAlign w:val="center"/>
          </w:tcPr>
          <w:p w14:paraId="31A58034">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86" w:type="pct"/>
            <w:shd w:val="clear" w:color="auto" w:fill="auto"/>
            <w:vAlign w:val="center"/>
          </w:tcPr>
          <w:p w14:paraId="69C67C04">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69" w:type="pct"/>
            <w:shd w:val="clear" w:color="auto" w:fill="auto"/>
            <w:vAlign w:val="center"/>
          </w:tcPr>
          <w:p w14:paraId="26AA9AEE">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0.0104 </w:t>
            </w:r>
          </w:p>
        </w:tc>
        <w:tc>
          <w:tcPr>
            <w:tcW w:w="550" w:type="pct"/>
            <w:shd w:val="clear" w:color="auto" w:fill="auto"/>
            <w:vAlign w:val="center"/>
          </w:tcPr>
          <w:p w14:paraId="7EDA1ACD">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r w14:paraId="092CE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pct"/>
            <w:shd w:val="clear" w:color="auto" w:fill="auto"/>
            <w:vAlign w:val="center"/>
          </w:tcPr>
          <w:p w14:paraId="3E8B0697">
            <w:pPr>
              <w:keepNext/>
              <w:keepLines w:val="0"/>
              <w:pageBreakBefore w:val="0"/>
              <w:wordWrap/>
              <w:overflowPunct/>
              <w:topLinePunct w:val="0"/>
              <w:bidi w:val="0"/>
              <w:snapToGrid w:val="0"/>
              <w:spacing w:line="360" w:lineRule="auto"/>
              <w:ind w:left="0" w:leftChars="0" w:right="0" w:rightChars="0"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4</w:t>
            </w:r>
            <w:r>
              <w:rPr>
                <w:rFonts w:ascii="Times New Roman" w:hAnsi="Times New Roman" w:eastAsia="宋体" w:cs="Times New Roman"/>
                <w:sz w:val="21"/>
                <w:szCs w:val="21"/>
              </w:rPr>
              <w:t>5）</w:t>
            </w:r>
          </w:p>
        </w:tc>
        <w:tc>
          <w:tcPr>
            <w:tcW w:w="878" w:type="pct"/>
            <w:shd w:val="clear" w:color="auto" w:fill="auto"/>
            <w:vAlign w:val="center"/>
          </w:tcPr>
          <w:p w14:paraId="48175C01">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江南生态</w:t>
            </w:r>
          </w:p>
        </w:tc>
        <w:tc>
          <w:tcPr>
            <w:tcW w:w="878" w:type="pct"/>
            <w:shd w:val="clear" w:color="auto" w:fill="auto"/>
            <w:vAlign w:val="center"/>
          </w:tcPr>
          <w:p w14:paraId="3D167E6B">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15-15-15</w:t>
            </w:r>
          </w:p>
        </w:tc>
        <w:tc>
          <w:tcPr>
            <w:tcW w:w="950" w:type="pct"/>
            <w:shd w:val="clear" w:color="auto" w:fill="auto"/>
            <w:vAlign w:val="center"/>
          </w:tcPr>
          <w:p w14:paraId="216F934A">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w:t>
            </w:r>
          </w:p>
        </w:tc>
        <w:tc>
          <w:tcPr>
            <w:tcW w:w="586" w:type="pct"/>
            <w:shd w:val="clear" w:color="auto" w:fill="auto"/>
            <w:vAlign w:val="center"/>
          </w:tcPr>
          <w:p w14:paraId="40299714">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c>
          <w:tcPr>
            <w:tcW w:w="569" w:type="pct"/>
            <w:shd w:val="clear" w:color="auto" w:fill="auto"/>
            <w:vAlign w:val="center"/>
          </w:tcPr>
          <w:p w14:paraId="76A8E2C9">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0.0083 </w:t>
            </w:r>
          </w:p>
        </w:tc>
        <w:tc>
          <w:tcPr>
            <w:tcW w:w="550" w:type="pct"/>
            <w:shd w:val="clear" w:color="auto" w:fill="auto"/>
            <w:vAlign w:val="center"/>
          </w:tcPr>
          <w:p w14:paraId="3A7FBCA9">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w:t>
            </w:r>
          </w:p>
        </w:tc>
      </w:tr>
    </w:tbl>
    <w:p w14:paraId="332323A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val="en-US" w:eastAsia="zh-CN"/>
        </w:rPr>
      </w:pPr>
    </w:p>
    <w:p w14:paraId="1C0023D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7.2 </w:t>
      </w:r>
      <w:r>
        <w:rPr>
          <w:rFonts w:hint="default" w:ascii="Times New Roman" w:hAnsi="Times New Roman" w:eastAsia="宋体" w:cs="Times New Roman"/>
          <w:sz w:val="24"/>
          <w:szCs w:val="24"/>
          <w:lang w:val="en-US" w:eastAsia="zh-CN"/>
        </w:rPr>
        <w:t>双氰胺（DCD）含量测定方法</w:t>
      </w:r>
    </w:p>
    <w:p w14:paraId="5E6E73A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7.2</w:t>
      </w:r>
      <w:r>
        <w:rPr>
          <w:rFonts w:hint="default" w:ascii="Times New Roman" w:hAnsi="Times New Roman" w:eastAsia="宋体" w:cs="Times New Roman"/>
          <w:sz w:val="24"/>
          <w:szCs w:val="24"/>
          <w:lang w:val="en-US" w:eastAsia="zh-CN"/>
        </w:rPr>
        <w:t>.1 材料与方法</w:t>
      </w:r>
    </w:p>
    <w:p w14:paraId="46A0E98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kern w:val="2"/>
          <w:sz w:val="24"/>
          <w:szCs w:val="24"/>
          <w:lang w:val="en-US" w:eastAsia="zh-CN" w:bidi="ar-SA"/>
        </w:rPr>
        <w:t>7.2</w:t>
      </w:r>
      <w:r>
        <w:rPr>
          <w:rFonts w:hint="default" w:ascii="Times New Roman" w:hAnsi="Times New Roman" w:eastAsia="宋体" w:cs="Times New Roman"/>
          <w:kern w:val="2"/>
          <w:sz w:val="24"/>
          <w:szCs w:val="24"/>
          <w:lang w:val="en-US" w:eastAsia="zh-CN" w:bidi="ar-SA"/>
        </w:rPr>
        <w:t>.1.1</w:t>
      </w:r>
      <w:r>
        <w:rPr>
          <w:rFonts w:hint="default" w:ascii="Times New Roman" w:hAnsi="Times New Roman" w:eastAsia="宋体" w:cs="Times New Roman"/>
          <w:sz w:val="24"/>
          <w:szCs w:val="24"/>
          <w:lang w:val="en-US" w:eastAsia="zh-CN"/>
        </w:rPr>
        <w:t>供试肥料</w:t>
      </w:r>
    </w:p>
    <w:p w14:paraId="587552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见上文2.1.1中的表3和4.1.1中的表9。</w:t>
      </w:r>
    </w:p>
    <w:p w14:paraId="6FE0B7B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7.2</w:t>
      </w:r>
      <w:r>
        <w:rPr>
          <w:rFonts w:hint="default" w:ascii="Times New Roman" w:hAnsi="Times New Roman" w:eastAsia="宋体" w:cs="Times New Roman"/>
          <w:kern w:val="2"/>
          <w:sz w:val="24"/>
          <w:szCs w:val="24"/>
          <w:lang w:val="en-US" w:eastAsia="zh-CN" w:bidi="ar-SA"/>
        </w:rPr>
        <w:t>.1.2 测定方法和步骤</w:t>
      </w:r>
    </w:p>
    <w:p w14:paraId="5E02D9C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（1）NY/T 2877测定步骤：</w:t>
      </w:r>
      <w:r>
        <w:rPr>
          <w:rFonts w:hint="eastAsia" w:ascii="Times New Roman" w:hAnsi="Times New Roman" w:eastAsia="宋体" w:cs="Times New Roman"/>
          <w:kern w:val="2"/>
          <w:sz w:val="24"/>
          <w:szCs w:val="24"/>
          <w:lang w:val="en-US" w:eastAsia="zh-CN" w:bidi="ar-SA"/>
        </w:rPr>
        <w:t>称取</w:t>
      </w:r>
      <w:r>
        <w:rPr>
          <w:rFonts w:hint="default" w:ascii="Times New Roman" w:hAnsi="Times New Roman" w:eastAsia="宋体" w:cs="Times New Roman"/>
          <w:kern w:val="2"/>
          <w:sz w:val="24"/>
          <w:szCs w:val="24"/>
          <w:lang w:val="en-US" w:eastAsia="zh-CN" w:bidi="ar-SA"/>
        </w:rPr>
        <w:t>5 g样品定容至1L，然后吸取2</w:t>
      </w:r>
      <w:r>
        <w:rPr>
          <w:rFonts w:hint="eastAsia" w:ascii="Times New Roman" w:hAnsi="Times New Roman" w:eastAsia="宋体" w:cs="Times New Roman"/>
          <w:kern w:val="2"/>
          <w:sz w:val="24"/>
          <w:szCs w:val="24"/>
          <w:lang w:val="en-US" w:eastAsia="zh-CN" w:bidi="ar-SA"/>
        </w:rPr>
        <w:t xml:space="preserve"> </w:t>
      </w:r>
      <w:r>
        <w:rPr>
          <w:rFonts w:hint="default" w:ascii="Times New Roman" w:hAnsi="Times New Roman" w:eastAsia="宋体" w:cs="Times New Roman"/>
          <w:kern w:val="2"/>
          <w:sz w:val="24"/>
          <w:szCs w:val="24"/>
          <w:lang w:val="en-US" w:eastAsia="zh-CN" w:bidi="ar-SA"/>
        </w:rPr>
        <w:t>ml</w:t>
      </w:r>
      <w:r>
        <w:rPr>
          <w:rFonts w:hint="eastAsia" w:ascii="Times New Roman" w:hAnsi="Times New Roman" w:eastAsia="宋体" w:cs="Times New Roman"/>
          <w:kern w:val="2"/>
          <w:sz w:val="24"/>
          <w:szCs w:val="24"/>
          <w:lang w:val="en-US" w:eastAsia="zh-CN" w:bidi="ar-SA"/>
        </w:rPr>
        <w:t>上清液稀释</w:t>
      </w:r>
      <w:r>
        <w:rPr>
          <w:rFonts w:hint="default" w:ascii="Times New Roman" w:hAnsi="Times New Roman" w:eastAsia="宋体" w:cs="Times New Roman"/>
          <w:kern w:val="2"/>
          <w:sz w:val="24"/>
          <w:szCs w:val="24"/>
          <w:lang w:val="en-US" w:eastAsia="zh-CN" w:bidi="ar-SA"/>
        </w:rPr>
        <w:t>定容至50</w:t>
      </w:r>
      <w:r>
        <w:rPr>
          <w:rFonts w:hint="eastAsia" w:ascii="Times New Roman" w:hAnsi="Times New Roman" w:eastAsia="宋体" w:cs="Times New Roman"/>
          <w:kern w:val="2"/>
          <w:sz w:val="24"/>
          <w:szCs w:val="24"/>
          <w:lang w:val="en-US" w:eastAsia="zh-CN" w:bidi="ar-SA"/>
        </w:rPr>
        <w:t xml:space="preserve"> </w:t>
      </w:r>
      <w:r>
        <w:rPr>
          <w:rFonts w:hint="default" w:ascii="Times New Roman" w:hAnsi="Times New Roman" w:eastAsia="宋体" w:cs="Times New Roman"/>
          <w:kern w:val="2"/>
          <w:sz w:val="24"/>
          <w:szCs w:val="24"/>
          <w:lang w:val="en-US" w:eastAsia="zh-CN" w:bidi="ar-SA"/>
        </w:rPr>
        <w:t>ml，过0.45um水系滤膜后上机测定。</w:t>
      </w:r>
    </w:p>
    <w:p w14:paraId="69A5627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（2）GB/T 46742测定步骤；</w:t>
      </w:r>
      <w:r>
        <w:rPr>
          <w:rFonts w:hint="eastAsia" w:ascii="Times New Roman" w:hAnsi="Times New Roman" w:eastAsia="宋体" w:cs="Times New Roman"/>
          <w:kern w:val="2"/>
          <w:sz w:val="24"/>
          <w:szCs w:val="24"/>
          <w:lang w:val="en-US" w:eastAsia="zh-CN" w:bidi="ar-SA"/>
        </w:rPr>
        <w:t>称取1</w:t>
      </w:r>
      <w:r>
        <w:rPr>
          <w:rFonts w:hint="default" w:ascii="Times New Roman" w:hAnsi="Times New Roman" w:eastAsia="宋体" w:cs="Times New Roman"/>
          <w:kern w:val="2"/>
          <w:sz w:val="24"/>
          <w:szCs w:val="24"/>
          <w:lang w:val="en-US" w:eastAsia="zh-CN" w:bidi="ar-SA"/>
        </w:rPr>
        <w:t xml:space="preserve"> g样品定容至</w:t>
      </w:r>
      <w:r>
        <w:rPr>
          <w:rFonts w:hint="default" w:ascii="Times New Roman" w:hAnsi="Times New Roman" w:eastAsia="宋体" w:cs="Times New Roman"/>
          <w:color w:val="auto"/>
          <w:kern w:val="2"/>
          <w:sz w:val="24"/>
          <w:szCs w:val="24"/>
          <w:lang w:val="en-US" w:eastAsia="zh-CN" w:bidi="ar-SA"/>
        </w:rPr>
        <w:t>100</w:t>
      </w:r>
      <w:r>
        <w:rPr>
          <w:rFonts w:hint="eastAsia" w:ascii="Times New Roman" w:hAnsi="Times New Roman" w:eastAsia="宋体" w:cs="Times New Roman"/>
          <w:color w:val="auto"/>
          <w:kern w:val="2"/>
          <w:sz w:val="24"/>
          <w:szCs w:val="24"/>
          <w:lang w:val="en-US" w:eastAsia="zh-CN" w:bidi="ar-SA"/>
        </w:rPr>
        <w:t xml:space="preserve"> </w:t>
      </w:r>
      <w:r>
        <w:rPr>
          <w:rFonts w:hint="default" w:ascii="Times New Roman" w:hAnsi="Times New Roman" w:eastAsia="宋体" w:cs="Times New Roman"/>
          <w:color w:val="auto"/>
          <w:kern w:val="2"/>
          <w:sz w:val="24"/>
          <w:szCs w:val="24"/>
          <w:lang w:val="en-US" w:eastAsia="zh-CN" w:bidi="ar-SA"/>
        </w:rPr>
        <w:t>ml，</w:t>
      </w:r>
      <w:r>
        <w:rPr>
          <w:rFonts w:hint="eastAsia" w:ascii="Times New Roman" w:hAnsi="Times New Roman" w:eastAsia="宋体" w:cs="Times New Roman"/>
          <w:kern w:val="2"/>
          <w:sz w:val="24"/>
          <w:szCs w:val="24"/>
          <w:lang w:val="en-US" w:eastAsia="zh-CN" w:bidi="ar-SA"/>
        </w:rPr>
        <w:t>之后按GB/T 46742中的液相色谱方法测定</w:t>
      </w:r>
      <w:r>
        <w:rPr>
          <w:rFonts w:hint="default" w:ascii="Times New Roman" w:hAnsi="Times New Roman" w:eastAsia="宋体" w:cs="Times New Roman"/>
          <w:color w:val="auto"/>
          <w:kern w:val="2"/>
          <w:sz w:val="24"/>
          <w:szCs w:val="24"/>
          <w:lang w:val="en-US" w:eastAsia="zh-CN" w:bidi="ar-SA"/>
        </w:rPr>
        <w:t>。取0、0.5、1、1.5、2、2.5 ml浓度为1000 mg/L的标准液体，定容至50ml，获得0、10、20、30、40、50 mg/L的标曲系列溶液。</w:t>
      </w:r>
    </w:p>
    <w:p w14:paraId="2637F7C8">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7.2</w:t>
      </w:r>
      <w:r>
        <w:rPr>
          <w:rFonts w:hint="default" w:ascii="Times New Roman" w:hAnsi="Times New Roman" w:eastAsia="宋体" w:cs="Times New Roman"/>
          <w:color w:val="auto"/>
          <w:kern w:val="2"/>
          <w:sz w:val="24"/>
          <w:szCs w:val="24"/>
          <w:lang w:val="en-US" w:eastAsia="zh-CN" w:bidi="ar-SA"/>
        </w:rPr>
        <w:t>.2 测试结果</w:t>
      </w:r>
    </w:p>
    <w:p w14:paraId="4951D3E2">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70</w:t>
      </w:r>
      <w:r>
        <w:rPr>
          <w:rFonts w:hint="default" w:ascii="Times New Roman" w:hAnsi="Times New Roman" w:eastAsia="宋体" w:cs="Times New Roman"/>
          <w:color w:val="auto"/>
          <w:kern w:val="2"/>
          <w:sz w:val="24"/>
          <w:szCs w:val="24"/>
          <w:lang w:val="en-US" w:eastAsia="zh-CN" w:bidi="ar-SA"/>
        </w:rPr>
        <w:t>个稳定性肥料样品</w:t>
      </w:r>
      <w:r>
        <w:rPr>
          <w:rFonts w:hint="eastAsia" w:ascii="Times New Roman" w:hAnsi="Times New Roman" w:eastAsia="宋体" w:cs="Times New Roman"/>
          <w:color w:val="auto"/>
          <w:kern w:val="2"/>
          <w:sz w:val="24"/>
          <w:szCs w:val="24"/>
          <w:lang w:val="en-US" w:eastAsia="zh-CN" w:bidi="ar-SA"/>
        </w:rPr>
        <w:t>中，只有57个肥料成品，另外13个样品为对应肥料同组份的原料混合物。测定结果表明，</w:t>
      </w:r>
      <w:r>
        <w:rPr>
          <w:rFonts w:hint="default" w:ascii="Times New Roman" w:hAnsi="Times New Roman" w:eastAsia="宋体" w:cs="Times New Roman"/>
          <w:color w:val="auto"/>
          <w:kern w:val="2"/>
          <w:sz w:val="24"/>
          <w:szCs w:val="24"/>
          <w:lang w:val="en-US" w:eastAsia="zh-CN" w:bidi="ar-SA"/>
        </w:rPr>
        <w:t>67个样品中含有DCD，仅有3个样品无DCD</w:t>
      </w:r>
      <w:r>
        <w:rPr>
          <w:rFonts w:hint="eastAsia" w:ascii="Times New Roman" w:hAnsi="Times New Roman" w:eastAsia="宋体" w:cs="Times New Roman"/>
          <w:color w:val="auto"/>
          <w:kern w:val="2"/>
          <w:sz w:val="24"/>
          <w:szCs w:val="24"/>
          <w:lang w:val="en-US" w:eastAsia="zh-CN" w:bidi="ar-SA"/>
        </w:rPr>
        <w:t>，</w:t>
      </w:r>
      <w:r>
        <w:rPr>
          <w:rFonts w:hint="default" w:ascii="Times New Roman" w:hAnsi="Times New Roman" w:eastAsia="宋体" w:cs="Times New Roman"/>
          <w:color w:val="auto"/>
          <w:kern w:val="2"/>
          <w:sz w:val="24"/>
          <w:szCs w:val="24"/>
          <w:lang w:val="en-US" w:eastAsia="zh-CN" w:bidi="ar-SA"/>
        </w:rPr>
        <w:t>DCD</w:t>
      </w:r>
      <w:r>
        <w:rPr>
          <w:rFonts w:hint="default" w:ascii="Times New Roman" w:hAnsi="Times New Roman" w:eastAsia="宋体" w:cs="Times New Roman"/>
          <w:b/>
          <w:bCs/>
          <w:color w:val="auto"/>
          <w:kern w:val="2"/>
          <w:sz w:val="24"/>
          <w:szCs w:val="24"/>
          <w:lang w:val="en-US" w:eastAsia="zh-CN" w:bidi="ar-SA"/>
        </w:rPr>
        <w:t>含量范围在0.055%至0.95%之间</w:t>
      </w:r>
      <w:r>
        <w:rPr>
          <w:rFonts w:hint="default" w:ascii="Times New Roman" w:hAnsi="Times New Roman" w:eastAsia="宋体" w:cs="Times New Roman"/>
          <w:color w:val="auto"/>
          <w:kern w:val="2"/>
          <w:sz w:val="24"/>
          <w:szCs w:val="24"/>
          <w:lang w:val="en-US" w:eastAsia="zh-CN" w:bidi="ar-SA"/>
        </w:rPr>
        <w:t>，主要在0.1%-0.4%之间变化。</w:t>
      </w:r>
      <w:r>
        <w:rPr>
          <w:rFonts w:hint="eastAsia" w:ascii="Times New Roman" w:hAnsi="Times New Roman" w:eastAsia="宋体" w:cs="Times New Roman"/>
          <w:color w:val="auto"/>
          <w:kern w:val="2"/>
          <w:sz w:val="24"/>
          <w:szCs w:val="24"/>
          <w:lang w:val="en-US" w:eastAsia="zh-CN" w:bidi="ar-SA"/>
        </w:rPr>
        <w:t>并且原料样品和对应的成品之间的DCD含量差异不大，说明肥料造粒方式以及原料之间的化学反应对DCD赋存形态无重大影响。DCD是主要抑制剂中最稳定的一种材料。</w:t>
      </w:r>
      <w:r>
        <w:rPr>
          <w:rFonts w:hint="default" w:ascii="Times New Roman" w:hAnsi="Times New Roman" w:eastAsia="宋体" w:cs="Times New Roman"/>
          <w:color w:val="auto"/>
          <w:kern w:val="2"/>
          <w:sz w:val="24"/>
          <w:szCs w:val="24"/>
          <w:lang w:val="en-US" w:eastAsia="zh-CN" w:bidi="ar-SA"/>
        </w:rPr>
        <w:t>并且</w:t>
      </w:r>
      <w:r>
        <w:rPr>
          <w:rFonts w:hint="eastAsia" w:ascii="Times New Roman" w:hAnsi="Times New Roman" w:eastAsia="宋体" w:cs="Times New Roman"/>
          <w:color w:val="auto"/>
          <w:kern w:val="2"/>
          <w:sz w:val="24"/>
          <w:szCs w:val="24"/>
          <w:lang w:val="en-US" w:eastAsia="zh-CN" w:bidi="ar-SA"/>
        </w:rPr>
        <w:t>研究过程中还发现</w:t>
      </w:r>
      <w:r>
        <w:rPr>
          <w:rFonts w:hint="default" w:ascii="Times New Roman" w:hAnsi="Times New Roman" w:eastAsia="宋体" w:cs="Times New Roman"/>
          <w:color w:val="auto"/>
          <w:kern w:val="2"/>
          <w:sz w:val="24"/>
          <w:szCs w:val="24"/>
          <w:lang w:val="en-US" w:eastAsia="zh-CN" w:bidi="ar-SA"/>
        </w:rPr>
        <w:t>农业部颁布标准NY/T 2877中的测定方法容易基线不稳，常需要手动画线，</w:t>
      </w:r>
      <w:r>
        <w:rPr>
          <w:rFonts w:hint="eastAsia" w:ascii="Times New Roman" w:hAnsi="Times New Roman" w:eastAsia="宋体" w:cs="Times New Roman"/>
          <w:color w:val="auto"/>
          <w:kern w:val="2"/>
          <w:sz w:val="24"/>
          <w:szCs w:val="24"/>
          <w:lang w:val="en-US" w:eastAsia="zh-CN" w:bidi="ar-SA"/>
        </w:rPr>
        <w:t>GB/T 46742</w:t>
      </w:r>
      <w:r>
        <w:rPr>
          <w:rFonts w:hint="default" w:ascii="Times New Roman" w:hAnsi="Times New Roman" w:eastAsia="宋体" w:cs="Times New Roman"/>
          <w:color w:val="auto"/>
          <w:kern w:val="2"/>
          <w:sz w:val="24"/>
          <w:szCs w:val="24"/>
          <w:lang w:val="en-US" w:eastAsia="zh-CN" w:bidi="ar-SA"/>
        </w:rPr>
        <w:t>中的测定方法比较稳定。</w:t>
      </w:r>
    </w:p>
    <w:p w14:paraId="4F797D15">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b/>
          <w:bCs/>
          <w:szCs w:val="21"/>
          <w:lang w:val="en-US" w:eastAsia="zh-CN"/>
        </w:rPr>
        <w:t>表20 企业收集的70个稳定性肥料中的DCD含量</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7"/>
        <w:gridCol w:w="990"/>
        <w:gridCol w:w="2030"/>
        <w:gridCol w:w="1675"/>
        <w:gridCol w:w="1608"/>
        <w:gridCol w:w="979"/>
      </w:tblGrid>
      <w:tr w14:paraId="435D4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6" w:type="pct"/>
          </w:tcPr>
          <w:p w14:paraId="132C47AD">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tcPr>
          <w:p w14:paraId="1824F64A">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1191" w:type="pct"/>
            <w:shd w:val="clear" w:color="auto" w:fill="auto"/>
            <w:vAlign w:val="center"/>
          </w:tcPr>
          <w:p w14:paraId="27AFADB4">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Style w:val="14"/>
                <w:sz w:val="21"/>
                <w:szCs w:val="21"/>
                <w:lang w:val="en-US" w:eastAsia="zh-CN" w:bidi="ar"/>
              </w:rPr>
              <w:t>厂家</w:t>
            </w:r>
          </w:p>
        </w:tc>
        <w:tc>
          <w:tcPr>
            <w:tcW w:w="983" w:type="pct"/>
            <w:shd w:val="clear" w:color="auto" w:fill="auto"/>
            <w:vAlign w:val="center"/>
          </w:tcPr>
          <w:p w14:paraId="111704DB">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
              </w:rPr>
            </w:pPr>
            <w:r>
              <w:rPr>
                <w:rStyle w:val="14"/>
                <w:sz w:val="21"/>
                <w:szCs w:val="21"/>
                <w:lang w:val="en-US" w:eastAsia="zh-CN" w:bidi="ar"/>
              </w:rPr>
              <w:t>配方</w:t>
            </w:r>
          </w:p>
        </w:tc>
        <w:tc>
          <w:tcPr>
            <w:tcW w:w="943" w:type="pct"/>
          </w:tcPr>
          <w:p w14:paraId="75CAAEB8">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备注</w:t>
            </w:r>
          </w:p>
        </w:tc>
        <w:tc>
          <w:tcPr>
            <w:tcW w:w="574" w:type="pct"/>
          </w:tcPr>
          <w:p w14:paraId="1D2114AB">
            <w:pPr>
              <w:keepNext w:val="0"/>
              <w:keepLines w:val="0"/>
              <w:pageBreakBefore w:val="0"/>
              <w:widowControl/>
              <w:suppressLineNumbers w:val="0"/>
              <w:wordWrap/>
              <w:overflowPunct/>
              <w:topLinePunct w:val="0"/>
              <w:bidi w:val="0"/>
              <w:spacing w:line="36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DCD%</w:t>
            </w:r>
          </w:p>
        </w:tc>
      </w:tr>
      <w:tr w14:paraId="460A0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6" w:type="pct"/>
            <w:vMerge w:val="restart"/>
          </w:tcPr>
          <w:p w14:paraId="32E0288A">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第一批</w:t>
            </w:r>
          </w:p>
          <w:p w14:paraId="7ED9E781">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收集样品</w:t>
            </w:r>
          </w:p>
        </w:tc>
        <w:tc>
          <w:tcPr>
            <w:tcW w:w="581" w:type="pct"/>
            <w:shd w:val="clear" w:color="auto" w:fill="auto"/>
            <w:vAlign w:val="center"/>
          </w:tcPr>
          <w:p w14:paraId="6B4D6639">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（1）</w:t>
            </w:r>
          </w:p>
        </w:tc>
        <w:tc>
          <w:tcPr>
            <w:tcW w:w="1191" w:type="pct"/>
            <w:shd w:val="clear" w:color="auto" w:fill="auto"/>
            <w:vAlign w:val="center"/>
          </w:tcPr>
          <w:p w14:paraId="1B5307AD">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蓝天宝丰</w:t>
            </w:r>
          </w:p>
        </w:tc>
        <w:tc>
          <w:tcPr>
            <w:tcW w:w="983" w:type="pct"/>
            <w:shd w:val="clear" w:color="auto" w:fill="auto"/>
            <w:vAlign w:val="center"/>
          </w:tcPr>
          <w:p w14:paraId="334D5C60">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20-0-5</w:t>
            </w:r>
          </w:p>
        </w:tc>
        <w:tc>
          <w:tcPr>
            <w:tcW w:w="943" w:type="pct"/>
          </w:tcPr>
          <w:p w14:paraId="4361348F">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vAlign w:val="center"/>
          </w:tcPr>
          <w:p w14:paraId="350E468E">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0.090</w:t>
            </w:r>
          </w:p>
        </w:tc>
      </w:tr>
      <w:tr w14:paraId="4A737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1250ACB8">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6A7415DA">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（2）</w:t>
            </w:r>
          </w:p>
        </w:tc>
        <w:tc>
          <w:tcPr>
            <w:tcW w:w="1191" w:type="pct"/>
            <w:shd w:val="clear" w:color="auto" w:fill="auto"/>
            <w:vAlign w:val="center"/>
          </w:tcPr>
          <w:p w14:paraId="6CBAC548">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蓝天宝丰</w:t>
            </w:r>
          </w:p>
        </w:tc>
        <w:tc>
          <w:tcPr>
            <w:tcW w:w="983" w:type="pct"/>
            <w:shd w:val="clear" w:color="auto" w:fill="auto"/>
            <w:vAlign w:val="center"/>
          </w:tcPr>
          <w:p w14:paraId="007796BE">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20-5-7</w:t>
            </w:r>
          </w:p>
        </w:tc>
        <w:tc>
          <w:tcPr>
            <w:tcW w:w="943" w:type="pct"/>
          </w:tcPr>
          <w:p w14:paraId="3F7FC825">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vAlign w:val="center"/>
          </w:tcPr>
          <w:p w14:paraId="69597D86">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0.054</w:t>
            </w:r>
          </w:p>
        </w:tc>
      </w:tr>
      <w:tr w14:paraId="70609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2056520D">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1CDAB4C1">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（3）</w:t>
            </w:r>
          </w:p>
        </w:tc>
        <w:tc>
          <w:tcPr>
            <w:tcW w:w="1191" w:type="pct"/>
            <w:shd w:val="clear" w:color="auto" w:fill="auto"/>
            <w:vAlign w:val="center"/>
          </w:tcPr>
          <w:p w14:paraId="4EE2AA5C">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蓝天宝丰</w:t>
            </w:r>
          </w:p>
        </w:tc>
        <w:tc>
          <w:tcPr>
            <w:tcW w:w="983" w:type="pct"/>
            <w:shd w:val="clear" w:color="auto" w:fill="auto"/>
            <w:vAlign w:val="center"/>
          </w:tcPr>
          <w:p w14:paraId="414125AA">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24-6-10</w:t>
            </w:r>
          </w:p>
        </w:tc>
        <w:tc>
          <w:tcPr>
            <w:tcW w:w="943" w:type="pct"/>
          </w:tcPr>
          <w:p w14:paraId="71F83326">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vAlign w:val="center"/>
          </w:tcPr>
          <w:p w14:paraId="2073C89C">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0.128</w:t>
            </w:r>
          </w:p>
        </w:tc>
      </w:tr>
      <w:tr w14:paraId="28FC3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2AD8A260">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3C97034F">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（4）</w:t>
            </w:r>
          </w:p>
        </w:tc>
        <w:tc>
          <w:tcPr>
            <w:tcW w:w="1191" w:type="pct"/>
            <w:shd w:val="clear" w:color="auto" w:fill="auto"/>
            <w:vAlign w:val="center"/>
          </w:tcPr>
          <w:p w14:paraId="008B4A9C">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湖北诺维尔</w:t>
            </w:r>
          </w:p>
        </w:tc>
        <w:tc>
          <w:tcPr>
            <w:tcW w:w="983" w:type="pct"/>
            <w:shd w:val="clear" w:color="auto" w:fill="auto"/>
            <w:vAlign w:val="center"/>
          </w:tcPr>
          <w:p w14:paraId="6F27AEAF">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27-10-13</w:t>
            </w:r>
          </w:p>
        </w:tc>
        <w:tc>
          <w:tcPr>
            <w:tcW w:w="943" w:type="pct"/>
          </w:tcPr>
          <w:p w14:paraId="71CD50F2">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vAlign w:val="center"/>
          </w:tcPr>
          <w:p w14:paraId="71514EF5">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0.072</w:t>
            </w:r>
          </w:p>
        </w:tc>
      </w:tr>
      <w:tr w14:paraId="01279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7EF63A31">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146682D6">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（5）</w:t>
            </w:r>
          </w:p>
        </w:tc>
        <w:tc>
          <w:tcPr>
            <w:tcW w:w="1191" w:type="pct"/>
            <w:shd w:val="clear" w:color="auto" w:fill="auto"/>
            <w:vAlign w:val="center"/>
          </w:tcPr>
          <w:p w14:paraId="71E0B6D2">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湖北诺维尔</w:t>
            </w:r>
          </w:p>
        </w:tc>
        <w:tc>
          <w:tcPr>
            <w:tcW w:w="983" w:type="pct"/>
            <w:shd w:val="clear" w:color="auto" w:fill="auto"/>
            <w:vAlign w:val="center"/>
          </w:tcPr>
          <w:p w14:paraId="149200B1">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29-5-6</w:t>
            </w:r>
          </w:p>
        </w:tc>
        <w:tc>
          <w:tcPr>
            <w:tcW w:w="943" w:type="pct"/>
          </w:tcPr>
          <w:p w14:paraId="0B5C6083">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vAlign w:val="center"/>
          </w:tcPr>
          <w:p w14:paraId="55AE45FF">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0.049</w:t>
            </w:r>
          </w:p>
        </w:tc>
      </w:tr>
      <w:tr w14:paraId="55B71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02B11DC8">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742DEDAF">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（6）</w:t>
            </w:r>
          </w:p>
        </w:tc>
        <w:tc>
          <w:tcPr>
            <w:tcW w:w="1191" w:type="pct"/>
            <w:shd w:val="clear" w:color="auto" w:fill="auto"/>
            <w:vAlign w:val="center"/>
          </w:tcPr>
          <w:p w14:paraId="4C38BE91">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南宁九禾</w:t>
            </w:r>
          </w:p>
        </w:tc>
        <w:tc>
          <w:tcPr>
            <w:tcW w:w="983" w:type="pct"/>
            <w:shd w:val="clear" w:color="auto" w:fill="auto"/>
            <w:vAlign w:val="center"/>
          </w:tcPr>
          <w:p w14:paraId="2FC074A3">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20-5-15</w:t>
            </w:r>
          </w:p>
        </w:tc>
        <w:tc>
          <w:tcPr>
            <w:tcW w:w="943" w:type="pct"/>
          </w:tcPr>
          <w:p w14:paraId="0938A226">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vAlign w:val="center"/>
          </w:tcPr>
          <w:p w14:paraId="29523ABC">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0.142</w:t>
            </w:r>
          </w:p>
        </w:tc>
      </w:tr>
      <w:tr w14:paraId="1994B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4950D516">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56F259A9">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（7）</w:t>
            </w:r>
          </w:p>
        </w:tc>
        <w:tc>
          <w:tcPr>
            <w:tcW w:w="1191" w:type="pct"/>
            <w:shd w:val="clear" w:color="auto" w:fill="auto"/>
            <w:vAlign w:val="center"/>
          </w:tcPr>
          <w:p w14:paraId="4E79DADF">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黑龙江爱农</w:t>
            </w:r>
          </w:p>
        </w:tc>
        <w:tc>
          <w:tcPr>
            <w:tcW w:w="983" w:type="pct"/>
            <w:shd w:val="clear" w:color="auto" w:fill="auto"/>
            <w:vAlign w:val="center"/>
          </w:tcPr>
          <w:p w14:paraId="64941AA5">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24-10-12</w:t>
            </w:r>
          </w:p>
        </w:tc>
        <w:tc>
          <w:tcPr>
            <w:tcW w:w="943" w:type="pct"/>
          </w:tcPr>
          <w:p w14:paraId="693DF70C">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vAlign w:val="center"/>
          </w:tcPr>
          <w:p w14:paraId="39FB495E">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0.127</w:t>
            </w:r>
          </w:p>
        </w:tc>
      </w:tr>
      <w:tr w14:paraId="5B3BB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5DAEAD80">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09435D32">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（8）</w:t>
            </w:r>
          </w:p>
        </w:tc>
        <w:tc>
          <w:tcPr>
            <w:tcW w:w="1191" w:type="pct"/>
            <w:shd w:val="clear" w:color="auto" w:fill="auto"/>
            <w:vAlign w:val="center"/>
          </w:tcPr>
          <w:p w14:paraId="57A7D464">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辽宁凯丰</w:t>
            </w:r>
          </w:p>
        </w:tc>
        <w:tc>
          <w:tcPr>
            <w:tcW w:w="983" w:type="pct"/>
            <w:shd w:val="clear" w:color="auto" w:fill="auto"/>
            <w:vAlign w:val="center"/>
          </w:tcPr>
          <w:p w14:paraId="5404DC24">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26-10-12</w:t>
            </w:r>
          </w:p>
        </w:tc>
        <w:tc>
          <w:tcPr>
            <w:tcW w:w="943" w:type="pct"/>
          </w:tcPr>
          <w:p w14:paraId="5182C53F">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vAlign w:val="center"/>
          </w:tcPr>
          <w:p w14:paraId="75ADB776">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0.122</w:t>
            </w:r>
          </w:p>
        </w:tc>
      </w:tr>
      <w:tr w14:paraId="03718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3E79D4A1">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622B755D">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9</w:t>
            </w:r>
            <w:r>
              <w:rPr>
                <w:rFonts w:ascii="Times New Roman" w:hAnsi="Times New Roman" w:eastAsia="宋体" w:cs="Times New Roman"/>
                <w:sz w:val="21"/>
                <w:szCs w:val="21"/>
              </w:rPr>
              <w:t>）</w:t>
            </w:r>
          </w:p>
        </w:tc>
        <w:tc>
          <w:tcPr>
            <w:tcW w:w="1191" w:type="pct"/>
            <w:shd w:val="clear" w:color="auto" w:fill="auto"/>
            <w:vAlign w:val="center"/>
          </w:tcPr>
          <w:p w14:paraId="7151BF10">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宁夏泸天化</w:t>
            </w:r>
          </w:p>
        </w:tc>
        <w:tc>
          <w:tcPr>
            <w:tcW w:w="983" w:type="pct"/>
            <w:shd w:val="clear" w:color="auto" w:fill="auto"/>
            <w:vAlign w:val="center"/>
          </w:tcPr>
          <w:p w14:paraId="60579CD1">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22-19-16</w:t>
            </w:r>
          </w:p>
        </w:tc>
        <w:tc>
          <w:tcPr>
            <w:tcW w:w="943" w:type="pct"/>
          </w:tcPr>
          <w:p w14:paraId="1039B54D">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vAlign w:val="center"/>
          </w:tcPr>
          <w:p w14:paraId="3E211D64">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0.130</w:t>
            </w:r>
          </w:p>
        </w:tc>
      </w:tr>
      <w:tr w14:paraId="7C5D2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7CA9E94C">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29C48BC1">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10</w:t>
            </w:r>
            <w:r>
              <w:rPr>
                <w:rFonts w:ascii="Times New Roman" w:hAnsi="Times New Roman" w:eastAsia="宋体" w:cs="Times New Roman"/>
                <w:sz w:val="21"/>
                <w:szCs w:val="21"/>
              </w:rPr>
              <w:t>）</w:t>
            </w:r>
          </w:p>
        </w:tc>
        <w:tc>
          <w:tcPr>
            <w:tcW w:w="1191" w:type="pct"/>
            <w:shd w:val="clear" w:color="auto" w:fill="auto"/>
            <w:vAlign w:val="center"/>
          </w:tcPr>
          <w:p w14:paraId="726D94F1">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宁夏泸天化</w:t>
            </w:r>
          </w:p>
        </w:tc>
        <w:tc>
          <w:tcPr>
            <w:tcW w:w="983" w:type="pct"/>
            <w:shd w:val="clear" w:color="auto" w:fill="auto"/>
            <w:vAlign w:val="center"/>
          </w:tcPr>
          <w:p w14:paraId="022559A0">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27-10-11</w:t>
            </w:r>
          </w:p>
        </w:tc>
        <w:tc>
          <w:tcPr>
            <w:tcW w:w="943" w:type="pct"/>
          </w:tcPr>
          <w:p w14:paraId="308ADDA3">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vAlign w:val="center"/>
          </w:tcPr>
          <w:p w14:paraId="4834724C">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0.122</w:t>
            </w:r>
          </w:p>
        </w:tc>
      </w:tr>
      <w:tr w14:paraId="72F82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5621209A">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0478BC9A">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11</w:t>
            </w:r>
            <w:r>
              <w:rPr>
                <w:rFonts w:hint="eastAsia" w:ascii="Times New Roman" w:hAnsi="Times New Roman" w:eastAsia="宋体" w:cs="Times New Roman"/>
                <w:sz w:val="21"/>
                <w:szCs w:val="21"/>
              </w:rPr>
              <w:t>）</w:t>
            </w:r>
          </w:p>
        </w:tc>
        <w:tc>
          <w:tcPr>
            <w:tcW w:w="1191" w:type="pct"/>
            <w:shd w:val="clear" w:color="auto" w:fill="auto"/>
            <w:vAlign w:val="center"/>
          </w:tcPr>
          <w:p w14:paraId="244D13BC">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宁夏泸天化</w:t>
            </w:r>
          </w:p>
        </w:tc>
        <w:tc>
          <w:tcPr>
            <w:tcW w:w="983" w:type="pct"/>
            <w:shd w:val="clear" w:color="auto" w:fill="auto"/>
            <w:vAlign w:val="center"/>
          </w:tcPr>
          <w:p w14:paraId="08C8E502">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26-10-12</w:t>
            </w:r>
          </w:p>
        </w:tc>
        <w:tc>
          <w:tcPr>
            <w:tcW w:w="943" w:type="pct"/>
          </w:tcPr>
          <w:p w14:paraId="11D544A2">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vAlign w:val="center"/>
          </w:tcPr>
          <w:p w14:paraId="5055A4A1">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0.136</w:t>
            </w:r>
          </w:p>
        </w:tc>
      </w:tr>
      <w:tr w14:paraId="2813A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249B9E44">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071DD965">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12</w:t>
            </w:r>
            <w:r>
              <w:rPr>
                <w:rFonts w:hint="eastAsia" w:ascii="Times New Roman" w:hAnsi="Times New Roman" w:eastAsia="宋体" w:cs="Times New Roman"/>
                <w:sz w:val="21"/>
                <w:szCs w:val="21"/>
              </w:rPr>
              <w:t>）</w:t>
            </w:r>
          </w:p>
        </w:tc>
        <w:tc>
          <w:tcPr>
            <w:tcW w:w="1191" w:type="pct"/>
            <w:shd w:val="clear" w:color="auto" w:fill="auto"/>
            <w:vAlign w:val="center"/>
          </w:tcPr>
          <w:p w14:paraId="660EB2BB">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宁夏泸天化</w:t>
            </w:r>
          </w:p>
        </w:tc>
        <w:tc>
          <w:tcPr>
            <w:tcW w:w="983" w:type="pct"/>
            <w:shd w:val="clear" w:color="auto" w:fill="auto"/>
            <w:vAlign w:val="center"/>
          </w:tcPr>
          <w:p w14:paraId="26EA2F9E">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26-9-6</w:t>
            </w:r>
          </w:p>
        </w:tc>
        <w:tc>
          <w:tcPr>
            <w:tcW w:w="943" w:type="pct"/>
          </w:tcPr>
          <w:p w14:paraId="59BC5263">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vAlign w:val="center"/>
          </w:tcPr>
          <w:p w14:paraId="10931A08">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0.184</w:t>
            </w:r>
          </w:p>
        </w:tc>
      </w:tr>
      <w:tr w14:paraId="42D77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58A11BB3">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6D4AEDA3">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13</w:t>
            </w:r>
            <w:r>
              <w:rPr>
                <w:rFonts w:hint="eastAsia" w:ascii="Times New Roman" w:hAnsi="Times New Roman" w:eastAsia="宋体" w:cs="Times New Roman"/>
                <w:sz w:val="21"/>
                <w:szCs w:val="21"/>
                <w:lang w:eastAsia="zh-CN"/>
              </w:rPr>
              <w:t>）</w:t>
            </w:r>
          </w:p>
        </w:tc>
        <w:tc>
          <w:tcPr>
            <w:tcW w:w="1191" w:type="pct"/>
            <w:shd w:val="clear" w:color="auto" w:fill="auto"/>
            <w:vAlign w:val="center"/>
          </w:tcPr>
          <w:p w14:paraId="3D7283F1">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宁夏泸天化</w:t>
            </w:r>
          </w:p>
        </w:tc>
        <w:tc>
          <w:tcPr>
            <w:tcW w:w="983" w:type="pct"/>
            <w:shd w:val="clear" w:color="auto" w:fill="auto"/>
            <w:vAlign w:val="center"/>
          </w:tcPr>
          <w:p w14:paraId="63B06974">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25-10-6</w:t>
            </w:r>
          </w:p>
        </w:tc>
        <w:tc>
          <w:tcPr>
            <w:tcW w:w="943" w:type="pct"/>
          </w:tcPr>
          <w:p w14:paraId="728B4A8F">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vAlign w:val="center"/>
          </w:tcPr>
          <w:p w14:paraId="456C0680">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0.144</w:t>
            </w:r>
          </w:p>
        </w:tc>
      </w:tr>
      <w:tr w14:paraId="591CD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0344D2B7">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0F641484">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14</w:t>
            </w:r>
            <w:r>
              <w:rPr>
                <w:rFonts w:hint="eastAsia" w:ascii="Times New Roman" w:hAnsi="Times New Roman" w:eastAsia="宋体" w:cs="Times New Roman"/>
                <w:sz w:val="21"/>
                <w:szCs w:val="21"/>
                <w:lang w:eastAsia="zh-CN"/>
              </w:rPr>
              <w:t>）</w:t>
            </w:r>
          </w:p>
        </w:tc>
        <w:tc>
          <w:tcPr>
            <w:tcW w:w="1191" w:type="pct"/>
            <w:shd w:val="clear" w:color="auto" w:fill="auto"/>
            <w:vAlign w:val="center"/>
          </w:tcPr>
          <w:p w14:paraId="21ADB6A2">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宁夏泸天化</w:t>
            </w:r>
          </w:p>
        </w:tc>
        <w:tc>
          <w:tcPr>
            <w:tcW w:w="983" w:type="pct"/>
            <w:shd w:val="clear" w:color="auto" w:fill="auto"/>
            <w:vAlign w:val="center"/>
          </w:tcPr>
          <w:p w14:paraId="503B4ED6">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27-10-11</w:t>
            </w:r>
          </w:p>
        </w:tc>
        <w:tc>
          <w:tcPr>
            <w:tcW w:w="943" w:type="pct"/>
          </w:tcPr>
          <w:p w14:paraId="18EA3E7E">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vAlign w:val="center"/>
          </w:tcPr>
          <w:p w14:paraId="1AD7B19C">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0.158</w:t>
            </w:r>
          </w:p>
        </w:tc>
      </w:tr>
      <w:tr w14:paraId="1DF2F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6399AD8F">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5D977201">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15</w:t>
            </w:r>
            <w:r>
              <w:rPr>
                <w:rFonts w:hint="eastAsia" w:ascii="Times New Roman" w:hAnsi="Times New Roman" w:eastAsia="宋体" w:cs="Times New Roman"/>
                <w:sz w:val="21"/>
                <w:szCs w:val="21"/>
                <w:lang w:eastAsia="zh-CN"/>
              </w:rPr>
              <w:t>）</w:t>
            </w:r>
          </w:p>
        </w:tc>
        <w:tc>
          <w:tcPr>
            <w:tcW w:w="1191" w:type="pct"/>
            <w:shd w:val="clear" w:color="auto" w:fill="auto"/>
            <w:vAlign w:val="center"/>
          </w:tcPr>
          <w:p w14:paraId="28A7040C">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宁夏泸天化</w:t>
            </w:r>
          </w:p>
        </w:tc>
        <w:tc>
          <w:tcPr>
            <w:tcW w:w="983" w:type="pct"/>
            <w:shd w:val="clear" w:color="auto" w:fill="auto"/>
            <w:vAlign w:val="center"/>
          </w:tcPr>
          <w:p w14:paraId="1F55FE1C">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22-20-5</w:t>
            </w:r>
          </w:p>
        </w:tc>
        <w:tc>
          <w:tcPr>
            <w:tcW w:w="943" w:type="pct"/>
          </w:tcPr>
          <w:p w14:paraId="24C2C952">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vAlign w:val="center"/>
          </w:tcPr>
          <w:p w14:paraId="6FBF61C7">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0.118</w:t>
            </w:r>
          </w:p>
        </w:tc>
      </w:tr>
      <w:tr w14:paraId="79784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04872705">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03E395CE">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1</w:t>
            </w:r>
            <w:r>
              <w:rPr>
                <w:rFonts w:ascii="Times New Roman" w:hAnsi="Times New Roman" w:eastAsia="宋体" w:cs="Times New Roman"/>
                <w:sz w:val="21"/>
                <w:szCs w:val="21"/>
              </w:rPr>
              <w:t>6）</w:t>
            </w:r>
          </w:p>
        </w:tc>
        <w:tc>
          <w:tcPr>
            <w:tcW w:w="1191" w:type="pct"/>
            <w:shd w:val="clear" w:color="auto" w:fill="auto"/>
            <w:vAlign w:val="center"/>
          </w:tcPr>
          <w:p w14:paraId="483A5D7E">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山东三色</w:t>
            </w:r>
          </w:p>
        </w:tc>
        <w:tc>
          <w:tcPr>
            <w:tcW w:w="983" w:type="pct"/>
            <w:shd w:val="clear" w:color="auto" w:fill="auto"/>
            <w:vAlign w:val="center"/>
          </w:tcPr>
          <w:p w14:paraId="490D2DBC">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26-10-12</w:t>
            </w:r>
          </w:p>
        </w:tc>
        <w:tc>
          <w:tcPr>
            <w:tcW w:w="943" w:type="pct"/>
          </w:tcPr>
          <w:p w14:paraId="4FA51B1D">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vAlign w:val="center"/>
          </w:tcPr>
          <w:p w14:paraId="46D94A9C">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0.123</w:t>
            </w:r>
          </w:p>
        </w:tc>
      </w:tr>
      <w:tr w14:paraId="1B2A2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6" w:type="pct"/>
            <w:vMerge w:val="continue"/>
          </w:tcPr>
          <w:p w14:paraId="2512F956">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53F24529">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1</w:t>
            </w:r>
            <w:r>
              <w:rPr>
                <w:rFonts w:hint="eastAsia" w:ascii="Times New Roman" w:hAnsi="Times New Roman" w:eastAsia="宋体" w:cs="Times New Roman"/>
                <w:sz w:val="21"/>
                <w:szCs w:val="21"/>
              </w:rPr>
              <w:t>7）</w:t>
            </w:r>
          </w:p>
        </w:tc>
        <w:tc>
          <w:tcPr>
            <w:tcW w:w="1191" w:type="pct"/>
            <w:shd w:val="clear" w:color="auto" w:fill="auto"/>
            <w:vAlign w:val="center"/>
          </w:tcPr>
          <w:p w14:paraId="00A74707">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山东三色</w:t>
            </w:r>
          </w:p>
        </w:tc>
        <w:tc>
          <w:tcPr>
            <w:tcW w:w="983" w:type="pct"/>
            <w:shd w:val="clear" w:color="auto" w:fill="auto"/>
            <w:vAlign w:val="center"/>
          </w:tcPr>
          <w:p w14:paraId="112D9062">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27-12-12</w:t>
            </w:r>
          </w:p>
        </w:tc>
        <w:tc>
          <w:tcPr>
            <w:tcW w:w="943" w:type="pct"/>
          </w:tcPr>
          <w:p w14:paraId="269DF033">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vAlign w:val="center"/>
          </w:tcPr>
          <w:p w14:paraId="406F3F8E">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0.131</w:t>
            </w:r>
          </w:p>
        </w:tc>
      </w:tr>
      <w:tr w14:paraId="17912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714AD7D9">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0463B315">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1</w:t>
            </w:r>
            <w:r>
              <w:rPr>
                <w:rFonts w:hint="eastAsia" w:ascii="Times New Roman" w:hAnsi="Times New Roman" w:eastAsia="宋体" w:cs="Times New Roman"/>
                <w:sz w:val="21"/>
                <w:szCs w:val="21"/>
              </w:rPr>
              <w:t>8）</w:t>
            </w:r>
          </w:p>
        </w:tc>
        <w:tc>
          <w:tcPr>
            <w:tcW w:w="1191" w:type="pct"/>
            <w:shd w:val="clear" w:color="auto" w:fill="auto"/>
            <w:vAlign w:val="center"/>
          </w:tcPr>
          <w:p w14:paraId="1A32DEEB">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山东三色</w:t>
            </w:r>
          </w:p>
        </w:tc>
        <w:tc>
          <w:tcPr>
            <w:tcW w:w="983" w:type="pct"/>
            <w:shd w:val="clear" w:color="auto" w:fill="auto"/>
            <w:vAlign w:val="center"/>
          </w:tcPr>
          <w:p w14:paraId="532E2762">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26-12-10</w:t>
            </w:r>
          </w:p>
        </w:tc>
        <w:tc>
          <w:tcPr>
            <w:tcW w:w="943" w:type="pct"/>
          </w:tcPr>
          <w:p w14:paraId="2BEEDA09">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vAlign w:val="center"/>
          </w:tcPr>
          <w:p w14:paraId="431C7F78">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0.112</w:t>
            </w:r>
          </w:p>
        </w:tc>
      </w:tr>
      <w:tr w14:paraId="26AE0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31173659">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718D0D2D">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19</w:t>
            </w:r>
            <w:r>
              <w:rPr>
                <w:rFonts w:ascii="Times New Roman" w:hAnsi="Times New Roman" w:eastAsia="宋体" w:cs="Times New Roman"/>
                <w:sz w:val="21"/>
                <w:szCs w:val="21"/>
              </w:rPr>
              <w:t>）</w:t>
            </w:r>
          </w:p>
        </w:tc>
        <w:tc>
          <w:tcPr>
            <w:tcW w:w="1191" w:type="pct"/>
            <w:shd w:val="clear" w:color="auto" w:fill="auto"/>
            <w:vAlign w:val="center"/>
          </w:tcPr>
          <w:p w14:paraId="3ADA5BEA">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山东三色</w:t>
            </w:r>
          </w:p>
        </w:tc>
        <w:tc>
          <w:tcPr>
            <w:tcW w:w="983" w:type="pct"/>
            <w:shd w:val="clear" w:color="auto" w:fill="auto"/>
            <w:vAlign w:val="center"/>
          </w:tcPr>
          <w:p w14:paraId="2435EA26">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27-7-7</w:t>
            </w:r>
          </w:p>
        </w:tc>
        <w:tc>
          <w:tcPr>
            <w:tcW w:w="943" w:type="pct"/>
          </w:tcPr>
          <w:p w14:paraId="604E11A5">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vAlign w:val="center"/>
          </w:tcPr>
          <w:p w14:paraId="43DDFBCF">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0.096</w:t>
            </w:r>
          </w:p>
        </w:tc>
      </w:tr>
      <w:tr w14:paraId="3D9DD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4BDCCAD5">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62F96F1C">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20</w:t>
            </w:r>
            <w:r>
              <w:rPr>
                <w:rFonts w:ascii="Times New Roman" w:hAnsi="Times New Roman" w:eastAsia="宋体" w:cs="Times New Roman"/>
                <w:sz w:val="21"/>
                <w:szCs w:val="21"/>
              </w:rPr>
              <w:t>）</w:t>
            </w:r>
          </w:p>
        </w:tc>
        <w:tc>
          <w:tcPr>
            <w:tcW w:w="1191" w:type="pct"/>
            <w:shd w:val="clear" w:color="auto" w:fill="auto"/>
            <w:vAlign w:val="center"/>
          </w:tcPr>
          <w:p w14:paraId="33FCEBA7">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中科国投生物工程</w:t>
            </w:r>
          </w:p>
        </w:tc>
        <w:tc>
          <w:tcPr>
            <w:tcW w:w="983" w:type="pct"/>
            <w:shd w:val="clear" w:color="auto" w:fill="auto"/>
            <w:vAlign w:val="center"/>
          </w:tcPr>
          <w:p w14:paraId="722BD781">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2"/>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26-10-12</w:t>
            </w:r>
          </w:p>
        </w:tc>
        <w:tc>
          <w:tcPr>
            <w:tcW w:w="943" w:type="pct"/>
          </w:tcPr>
          <w:p w14:paraId="51332E6E">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vAlign w:val="center"/>
          </w:tcPr>
          <w:p w14:paraId="3E64E3D0">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0.148</w:t>
            </w:r>
          </w:p>
        </w:tc>
      </w:tr>
      <w:tr w14:paraId="39C91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6413B601">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2B0CC0F8">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21</w:t>
            </w:r>
            <w:r>
              <w:rPr>
                <w:rFonts w:hint="eastAsia" w:ascii="Times New Roman" w:hAnsi="Times New Roman" w:eastAsia="宋体" w:cs="Times New Roman"/>
                <w:sz w:val="21"/>
                <w:szCs w:val="21"/>
              </w:rPr>
              <w:t>）</w:t>
            </w:r>
          </w:p>
        </w:tc>
        <w:tc>
          <w:tcPr>
            <w:tcW w:w="1191" w:type="pct"/>
            <w:shd w:val="clear" w:color="auto" w:fill="auto"/>
            <w:vAlign w:val="bottom"/>
          </w:tcPr>
          <w:p w14:paraId="67EBBEE7">
            <w:pPr>
              <w:keepNext w:val="0"/>
              <w:keepLines w:val="0"/>
              <w:pageBreakBefore w:val="0"/>
              <w:widowControl/>
              <w:suppressLineNumbers w:val="0"/>
              <w:wordWrap/>
              <w:overflowPunct/>
              <w:topLinePunct w:val="0"/>
              <w:bidi w:val="0"/>
              <w:spacing w:line="360" w:lineRule="auto"/>
              <w:jc w:val="center"/>
              <w:textAlignment w:val="bottom"/>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兰花尿素</w:t>
            </w:r>
          </w:p>
        </w:tc>
        <w:tc>
          <w:tcPr>
            <w:tcW w:w="983" w:type="pct"/>
            <w:shd w:val="clear" w:color="auto" w:fill="auto"/>
            <w:vAlign w:val="bottom"/>
          </w:tcPr>
          <w:p w14:paraId="2D0BBD0B">
            <w:pPr>
              <w:keepLines w:val="0"/>
              <w:pageBreakBefore w:val="0"/>
              <w:wordWrap/>
              <w:overflowPunct/>
              <w:topLinePunct w:val="0"/>
              <w:bidi w:val="0"/>
              <w:spacing w:line="360" w:lineRule="auto"/>
              <w:jc w:val="center"/>
              <w:rPr>
                <w:rFonts w:hint="eastAsia" w:ascii="宋体" w:hAnsi="宋体" w:eastAsia="宋体" w:cs="宋体"/>
                <w:i w:val="0"/>
                <w:iCs w:val="0"/>
                <w:color w:val="000000"/>
                <w:kern w:val="2"/>
                <w:sz w:val="21"/>
                <w:szCs w:val="21"/>
                <w:u w:val="none"/>
                <w:lang w:val="en-US" w:eastAsia="zh-CN" w:bidi="ar"/>
              </w:rPr>
            </w:pPr>
          </w:p>
        </w:tc>
        <w:tc>
          <w:tcPr>
            <w:tcW w:w="943" w:type="pct"/>
          </w:tcPr>
          <w:p w14:paraId="130BA5EA">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vAlign w:val="bottom"/>
          </w:tcPr>
          <w:p w14:paraId="509750AA">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0.055</w:t>
            </w:r>
          </w:p>
        </w:tc>
      </w:tr>
      <w:tr w14:paraId="1ED2D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42AE8BE6">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3A5A0067">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22</w:t>
            </w:r>
            <w:r>
              <w:rPr>
                <w:rFonts w:hint="eastAsia" w:ascii="Times New Roman" w:hAnsi="Times New Roman" w:eastAsia="宋体" w:cs="Times New Roman"/>
                <w:sz w:val="21"/>
                <w:szCs w:val="21"/>
              </w:rPr>
              <w:t>）</w:t>
            </w:r>
          </w:p>
        </w:tc>
        <w:tc>
          <w:tcPr>
            <w:tcW w:w="1191" w:type="pct"/>
            <w:shd w:val="clear" w:color="auto" w:fill="auto"/>
            <w:vAlign w:val="center"/>
          </w:tcPr>
          <w:p w14:paraId="243E4B21">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兰花尿素</w:t>
            </w:r>
          </w:p>
        </w:tc>
        <w:tc>
          <w:tcPr>
            <w:tcW w:w="983" w:type="pct"/>
            <w:shd w:val="clear" w:color="auto" w:fill="auto"/>
            <w:vAlign w:val="bottom"/>
          </w:tcPr>
          <w:p w14:paraId="6E20B340">
            <w:pPr>
              <w:keepLines w:val="0"/>
              <w:pageBreakBefore w:val="0"/>
              <w:wordWrap/>
              <w:overflowPunct/>
              <w:topLinePunct w:val="0"/>
              <w:bidi w:val="0"/>
              <w:spacing w:line="360" w:lineRule="auto"/>
              <w:jc w:val="center"/>
              <w:rPr>
                <w:rFonts w:hint="eastAsia" w:ascii="宋体" w:hAnsi="宋体" w:eastAsia="宋体" w:cs="宋体"/>
                <w:i w:val="0"/>
                <w:iCs w:val="0"/>
                <w:color w:val="000000"/>
                <w:kern w:val="2"/>
                <w:sz w:val="21"/>
                <w:szCs w:val="21"/>
                <w:u w:val="none"/>
                <w:lang w:val="en-US" w:eastAsia="zh-CN" w:bidi="ar"/>
              </w:rPr>
            </w:pPr>
          </w:p>
        </w:tc>
        <w:tc>
          <w:tcPr>
            <w:tcW w:w="943" w:type="pct"/>
          </w:tcPr>
          <w:p w14:paraId="0AD66933">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vAlign w:val="bottom"/>
          </w:tcPr>
          <w:p w14:paraId="57ECF250">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0.121</w:t>
            </w:r>
          </w:p>
        </w:tc>
      </w:tr>
      <w:tr w14:paraId="3A553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restart"/>
          </w:tcPr>
          <w:p w14:paraId="0240C6EE">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第二批</w:t>
            </w:r>
          </w:p>
          <w:p w14:paraId="65309308">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收集样品</w:t>
            </w:r>
          </w:p>
        </w:tc>
        <w:tc>
          <w:tcPr>
            <w:tcW w:w="581" w:type="pct"/>
            <w:shd w:val="clear" w:color="auto" w:fill="auto"/>
            <w:vAlign w:val="center"/>
          </w:tcPr>
          <w:p w14:paraId="2A7B5596">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（1）</w:t>
            </w:r>
          </w:p>
        </w:tc>
        <w:tc>
          <w:tcPr>
            <w:tcW w:w="1191" w:type="pct"/>
            <w:shd w:val="clear" w:color="auto" w:fill="auto"/>
            <w:vAlign w:val="center"/>
          </w:tcPr>
          <w:p w14:paraId="2149EA37">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沧州德胜</w:t>
            </w:r>
          </w:p>
        </w:tc>
        <w:tc>
          <w:tcPr>
            <w:tcW w:w="983" w:type="pct"/>
            <w:shd w:val="clear" w:color="auto" w:fill="auto"/>
            <w:vAlign w:val="center"/>
          </w:tcPr>
          <w:p w14:paraId="1DE2AED9">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26-10-12</w:t>
            </w:r>
          </w:p>
        </w:tc>
        <w:tc>
          <w:tcPr>
            <w:tcW w:w="943" w:type="pct"/>
            <w:shd w:val="clear" w:color="auto" w:fill="auto"/>
            <w:vAlign w:val="center"/>
          </w:tcPr>
          <w:p w14:paraId="6280E75B">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w:t>
            </w:r>
          </w:p>
        </w:tc>
        <w:tc>
          <w:tcPr>
            <w:tcW w:w="574" w:type="pct"/>
            <w:shd w:val="clear" w:color="auto" w:fill="auto"/>
            <w:vAlign w:val="center"/>
          </w:tcPr>
          <w:p w14:paraId="20CD47E8">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0.16</w:t>
            </w:r>
          </w:p>
        </w:tc>
      </w:tr>
      <w:tr w14:paraId="3B610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0D3EF7F3">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52AC2272">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（2）</w:t>
            </w:r>
          </w:p>
        </w:tc>
        <w:tc>
          <w:tcPr>
            <w:tcW w:w="1191" w:type="pct"/>
            <w:shd w:val="clear" w:color="auto" w:fill="auto"/>
            <w:vAlign w:val="center"/>
          </w:tcPr>
          <w:p w14:paraId="23835E26">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东北丰</w:t>
            </w:r>
          </w:p>
        </w:tc>
        <w:tc>
          <w:tcPr>
            <w:tcW w:w="983" w:type="pct"/>
            <w:shd w:val="clear" w:color="auto" w:fill="auto"/>
            <w:vAlign w:val="center"/>
          </w:tcPr>
          <w:p w14:paraId="45482F0B">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26-11-11</w:t>
            </w:r>
          </w:p>
        </w:tc>
        <w:tc>
          <w:tcPr>
            <w:tcW w:w="943" w:type="pct"/>
            <w:shd w:val="clear" w:color="auto" w:fill="auto"/>
            <w:vAlign w:val="center"/>
          </w:tcPr>
          <w:p w14:paraId="3C7C63F7">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w:t>
            </w:r>
          </w:p>
        </w:tc>
        <w:tc>
          <w:tcPr>
            <w:tcW w:w="574" w:type="pct"/>
            <w:shd w:val="clear" w:color="auto" w:fill="auto"/>
            <w:vAlign w:val="center"/>
          </w:tcPr>
          <w:p w14:paraId="364BBF7E">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0.13</w:t>
            </w:r>
          </w:p>
        </w:tc>
      </w:tr>
      <w:tr w14:paraId="36BC8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011AC279">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69B93842">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（3）</w:t>
            </w:r>
          </w:p>
        </w:tc>
        <w:tc>
          <w:tcPr>
            <w:tcW w:w="1191" w:type="pct"/>
            <w:shd w:val="clear" w:color="auto" w:fill="auto"/>
            <w:vAlign w:val="center"/>
          </w:tcPr>
          <w:p w14:paraId="551E70F0">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津旺</w:t>
            </w:r>
          </w:p>
        </w:tc>
        <w:tc>
          <w:tcPr>
            <w:tcW w:w="983" w:type="pct"/>
            <w:shd w:val="clear" w:color="auto" w:fill="auto"/>
            <w:vAlign w:val="center"/>
          </w:tcPr>
          <w:p w14:paraId="54982B9A">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25-10-10</w:t>
            </w:r>
          </w:p>
        </w:tc>
        <w:tc>
          <w:tcPr>
            <w:tcW w:w="943" w:type="pct"/>
            <w:shd w:val="clear" w:color="auto" w:fill="auto"/>
            <w:vAlign w:val="center"/>
          </w:tcPr>
          <w:p w14:paraId="7CB2DC58">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w:t>
            </w:r>
          </w:p>
        </w:tc>
        <w:tc>
          <w:tcPr>
            <w:tcW w:w="574" w:type="pct"/>
            <w:shd w:val="clear" w:color="auto" w:fill="auto"/>
            <w:vAlign w:val="center"/>
          </w:tcPr>
          <w:p w14:paraId="09A21902">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0.10</w:t>
            </w:r>
          </w:p>
        </w:tc>
      </w:tr>
      <w:tr w14:paraId="18C65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46A5144F">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61722AB1">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（4）</w:t>
            </w:r>
          </w:p>
        </w:tc>
        <w:tc>
          <w:tcPr>
            <w:tcW w:w="1191" w:type="pct"/>
            <w:shd w:val="clear" w:color="auto" w:fill="auto"/>
            <w:vAlign w:val="center"/>
          </w:tcPr>
          <w:p w14:paraId="51A3393A">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波普克</w:t>
            </w:r>
          </w:p>
        </w:tc>
        <w:tc>
          <w:tcPr>
            <w:tcW w:w="983" w:type="pct"/>
            <w:shd w:val="clear" w:color="auto" w:fill="auto"/>
            <w:vAlign w:val="center"/>
          </w:tcPr>
          <w:p w14:paraId="458687C1">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26-10-12</w:t>
            </w:r>
          </w:p>
        </w:tc>
        <w:tc>
          <w:tcPr>
            <w:tcW w:w="943" w:type="pct"/>
            <w:shd w:val="clear" w:color="auto" w:fill="auto"/>
            <w:vAlign w:val="center"/>
          </w:tcPr>
          <w:p w14:paraId="5875A0FC">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w:t>
            </w:r>
          </w:p>
        </w:tc>
        <w:tc>
          <w:tcPr>
            <w:tcW w:w="574" w:type="pct"/>
            <w:shd w:val="clear" w:color="auto" w:fill="auto"/>
            <w:vAlign w:val="center"/>
          </w:tcPr>
          <w:p w14:paraId="50922867">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0.15</w:t>
            </w:r>
          </w:p>
        </w:tc>
      </w:tr>
      <w:tr w14:paraId="65018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72301C83">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539184D3">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（5）</w:t>
            </w:r>
          </w:p>
        </w:tc>
        <w:tc>
          <w:tcPr>
            <w:tcW w:w="1191" w:type="pct"/>
            <w:shd w:val="clear" w:color="auto" w:fill="auto"/>
            <w:vAlign w:val="center"/>
          </w:tcPr>
          <w:p w14:paraId="6F936267">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吉林辽源</w:t>
            </w:r>
          </w:p>
        </w:tc>
        <w:tc>
          <w:tcPr>
            <w:tcW w:w="983" w:type="pct"/>
            <w:shd w:val="clear" w:color="auto" w:fill="auto"/>
            <w:vAlign w:val="center"/>
          </w:tcPr>
          <w:p w14:paraId="4488FD3B">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26-10-12</w:t>
            </w:r>
          </w:p>
        </w:tc>
        <w:tc>
          <w:tcPr>
            <w:tcW w:w="943" w:type="pct"/>
            <w:shd w:val="clear" w:color="auto" w:fill="auto"/>
            <w:vAlign w:val="center"/>
          </w:tcPr>
          <w:p w14:paraId="2AAE24FA">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w:t>
            </w:r>
          </w:p>
        </w:tc>
        <w:tc>
          <w:tcPr>
            <w:tcW w:w="574" w:type="pct"/>
            <w:shd w:val="clear" w:color="auto" w:fill="auto"/>
            <w:vAlign w:val="center"/>
          </w:tcPr>
          <w:p w14:paraId="5217688F">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0.18</w:t>
            </w:r>
          </w:p>
        </w:tc>
      </w:tr>
      <w:tr w14:paraId="1B646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2D5EB284">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326F2DE2">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（6）</w:t>
            </w:r>
          </w:p>
        </w:tc>
        <w:tc>
          <w:tcPr>
            <w:tcW w:w="1191" w:type="pct"/>
            <w:shd w:val="clear" w:color="auto" w:fill="auto"/>
            <w:vAlign w:val="center"/>
          </w:tcPr>
          <w:p w14:paraId="6A09C646">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艾克斯</w:t>
            </w:r>
          </w:p>
        </w:tc>
        <w:tc>
          <w:tcPr>
            <w:tcW w:w="983" w:type="pct"/>
            <w:shd w:val="clear" w:color="auto" w:fill="auto"/>
            <w:vAlign w:val="center"/>
          </w:tcPr>
          <w:p w14:paraId="76B06ABB">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26-11-11</w:t>
            </w:r>
          </w:p>
        </w:tc>
        <w:tc>
          <w:tcPr>
            <w:tcW w:w="943" w:type="pct"/>
            <w:shd w:val="clear" w:color="auto" w:fill="auto"/>
            <w:vAlign w:val="center"/>
          </w:tcPr>
          <w:p w14:paraId="3EDA3E31">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w:t>
            </w:r>
          </w:p>
        </w:tc>
        <w:tc>
          <w:tcPr>
            <w:tcW w:w="574" w:type="pct"/>
            <w:shd w:val="clear" w:color="auto" w:fill="auto"/>
            <w:vAlign w:val="center"/>
          </w:tcPr>
          <w:p w14:paraId="1D6AF461">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0.12</w:t>
            </w:r>
          </w:p>
        </w:tc>
      </w:tr>
      <w:tr w14:paraId="24C6A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0FFADA83">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7365A124">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（7）</w:t>
            </w:r>
          </w:p>
        </w:tc>
        <w:tc>
          <w:tcPr>
            <w:tcW w:w="1191" w:type="pct"/>
            <w:shd w:val="clear" w:color="auto" w:fill="auto"/>
            <w:vAlign w:val="center"/>
          </w:tcPr>
          <w:p w14:paraId="27D548ED">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山东嘉源</w:t>
            </w:r>
          </w:p>
        </w:tc>
        <w:tc>
          <w:tcPr>
            <w:tcW w:w="983" w:type="pct"/>
            <w:shd w:val="clear" w:color="auto" w:fill="auto"/>
            <w:vAlign w:val="center"/>
          </w:tcPr>
          <w:p w14:paraId="0442B3FF">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26-12-12</w:t>
            </w:r>
          </w:p>
        </w:tc>
        <w:tc>
          <w:tcPr>
            <w:tcW w:w="943" w:type="pct"/>
            <w:shd w:val="clear" w:color="auto" w:fill="auto"/>
            <w:vAlign w:val="center"/>
          </w:tcPr>
          <w:p w14:paraId="13BECF35">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w:t>
            </w:r>
          </w:p>
        </w:tc>
        <w:tc>
          <w:tcPr>
            <w:tcW w:w="574" w:type="pct"/>
            <w:shd w:val="clear" w:color="auto" w:fill="auto"/>
            <w:vAlign w:val="center"/>
          </w:tcPr>
          <w:p w14:paraId="633E5768">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0.34</w:t>
            </w:r>
          </w:p>
        </w:tc>
      </w:tr>
      <w:tr w14:paraId="4F86C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7C546EF4">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62246613">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（8）</w:t>
            </w:r>
          </w:p>
        </w:tc>
        <w:tc>
          <w:tcPr>
            <w:tcW w:w="1191" w:type="pct"/>
            <w:shd w:val="clear" w:color="auto" w:fill="auto"/>
            <w:vAlign w:val="center"/>
          </w:tcPr>
          <w:p w14:paraId="2A86E014">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吉林隆福源</w:t>
            </w:r>
          </w:p>
        </w:tc>
        <w:tc>
          <w:tcPr>
            <w:tcW w:w="983" w:type="pct"/>
            <w:shd w:val="clear" w:color="auto" w:fill="auto"/>
            <w:vAlign w:val="center"/>
          </w:tcPr>
          <w:p w14:paraId="4BF50942">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26-12-12</w:t>
            </w:r>
          </w:p>
        </w:tc>
        <w:tc>
          <w:tcPr>
            <w:tcW w:w="943" w:type="pct"/>
            <w:shd w:val="clear" w:color="auto" w:fill="auto"/>
            <w:vAlign w:val="center"/>
          </w:tcPr>
          <w:p w14:paraId="705CA0B9">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w:t>
            </w:r>
          </w:p>
        </w:tc>
        <w:tc>
          <w:tcPr>
            <w:tcW w:w="574" w:type="pct"/>
            <w:shd w:val="clear" w:color="auto" w:fill="auto"/>
            <w:vAlign w:val="center"/>
          </w:tcPr>
          <w:p w14:paraId="3B1300C9">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0.16</w:t>
            </w:r>
          </w:p>
        </w:tc>
      </w:tr>
      <w:tr w14:paraId="4751C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5128FBA3">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002DF563">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9</w:t>
            </w:r>
            <w:r>
              <w:rPr>
                <w:rFonts w:ascii="Times New Roman" w:hAnsi="Times New Roman" w:eastAsia="宋体" w:cs="Times New Roman"/>
                <w:sz w:val="21"/>
                <w:szCs w:val="21"/>
              </w:rPr>
              <w:t>）</w:t>
            </w:r>
          </w:p>
        </w:tc>
        <w:tc>
          <w:tcPr>
            <w:tcW w:w="1191" w:type="pct"/>
            <w:shd w:val="clear" w:color="auto" w:fill="auto"/>
            <w:vAlign w:val="center"/>
          </w:tcPr>
          <w:p w14:paraId="33FF7B54">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河南施可丰</w:t>
            </w:r>
          </w:p>
        </w:tc>
        <w:tc>
          <w:tcPr>
            <w:tcW w:w="983" w:type="pct"/>
            <w:shd w:val="clear" w:color="auto" w:fill="auto"/>
            <w:vAlign w:val="center"/>
          </w:tcPr>
          <w:p w14:paraId="23093778">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24-15-6</w:t>
            </w:r>
          </w:p>
        </w:tc>
        <w:tc>
          <w:tcPr>
            <w:tcW w:w="943" w:type="pct"/>
            <w:shd w:val="clear" w:color="auto" w:fill="auto"/>
            <w:vAlign w:val="center"/>
          </w:tcPr>
          <w:p w14:paraId="0593B16C">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w:t>
            </w:r>
          </w:p>
        </w:tc>
        <w:tc>
          <w:tcPr>
            <w:tcW w:w="574" w:type="pct"/>
            <w:shd w:val="clear" w:color="auto" w:fill="auto"/>
            <w:vAlign w:val="center"/>
          </w:tcPr>
          <w:p w14:paraId="45A1DADF">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FF0000"/>
                <w:kern w:val="0"/>
                <w:sz w:val="21"/>
                <w:szCs w:val="21"/>
                <w:u w:val="none"/>
                <w:lang w:val="en-US" w:eastAsia="zh-CN" w:bidi="ar"/>
              </w:rPr>
            </w:pPr>
            <w:r>
              <w:rPr>
                <w:rFonts w:hint="default" w:ascii="Times New Roman" w:hAnsi="Times New Roman" w:eastAsia="宋体" w:cs="Times New Roman"/>
                <w:i w:val="0"/>
                <w:iCs w:val="0"/>
                <w:color w:val="FF0000"/>
                <w:kern w:val="0"/>
                <w:sz w:val="21"/>
                <w:szCs w:val="21"/>
                <w:u w:val="none"/>
                <w:lang w:val="en-US" w:eastAsia="zh-CN" w:bidi="ar"/>
              </w:rPr>
              <w:t>0.84</w:t>
            </w:r>
          </w:p>
        </w:tc>
      </w:tr>
      <w:tr w14:paraId="730DA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2369626C">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758BB5CA">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10</w:t>
            </w:r>
            <w:r>
              <w:rPr>
                <w:rFonts w:ascii="Times New Roman" w:hAnsi="Times New Roman" w:eastAsia="宋体" w:cs="Times New Roman"/>
                <w:sz w:val="21"/>
                <w:szCs w:val="21"/>
              </w:rPr>
              <w:t>）</w:t>
            </w:r>
          </w:p>
        </w:tc>
        <w:tc>
          <w:tcPr>
            <w:tcW w:w="1191" w:type="pct"/>
            <w:shd w:val="clear" w:color="auto" w:fill="auto"/>
            <w:vAlign w:val="center"/>
          </w:tcPr>
          <w:p w14:paraId="602847F1">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河南施可丰</w:t>
            </w:r>
          </w:p>
        </w:tc>
        <w:tc>
          <w:tcPr>
            <w:tcW w:w="983" w:type="pct"/>
            <w:shd w:val="clear" w:color="auto" w:fill="auto"/>
            <w:vAlign w:val="center"/>
          </w:tcPr>
          <w:p w14:paraId="7F9B85D6">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24-15-6</w:t>
            </w:r>
          </w:p>
        </w:tc>
        <w:tc>
          <w:tcPr>
            <w:tcW w:w="943" w:type="pct"/>
            <w:shd w:val="clear" w:color="auto" w:fill="auto"/>
            <w:vAlign w:val="center"/>
          </w:tcPr>
          <w:p w14:paraId="43BFA212">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原料</w:t>
            </w:r>
          </w:p>
        </w:tc>
        <w:tc>
          <w:tcPr>
            <w:tcW w:w="574" w:type="pct"/>
            <w:shd w:val="clear" w:color="auto" w:fill="auto"/>
            <w:vAlign w:val="center"/>
          </w:tcPr>
          <w:p w14:paraId="1BB115FE">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FF0000"/>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0.52</w:t>
            </w:r>
          </w:p>
        </w:tc>
      </w:tr>
      <w:tr w14:paraId="01DDD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0C79E196">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0E1567AC">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11</w:t>
            </w:r>
            <w:r>
              <w:rPr>
                <w:rFonts w:hint="eastAsia" w:ascii="Times New Roman" w:hAnsi="Times New Roman" w:eastAsia="宋体" w:cs="Times New Roman"/>
                <w:sz w:val="21"/>
                <w:szCs w:val="21"/>
              </w:rPr>
              <w:t>）</w:t>
            </w:r>
          </w:p>
        </w:tc>
        <w:tc>
          <w:tcPr>
            <w:tcW w:w="1191" w:type="pct"/>
            <w:shd w:val="clear" w:color="auto" w:fill="auto"/>
            <w:vAlign w:val="center"/>
          </w:tcPr>
          <w:p w14:paraId="21E8502E">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山东施可丰</w:t>
            </w:r>
          </w:p>
        </w:tc>
        <w:tc>
          <w:tcPr>
            <w:tcW w:w="983" w:type="pct"/>
            <w:shd w:val="clear" w:color="auto" w:fill="auto"/>
            <w:vAlign w:val="center"/>
          </w:tcPr>
          <w:p w14:paraId="0E44F153">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26-11-11</w:t>
            </w:r>
          </w:p>
        </w:tc>
        <w:tc>
          <w:tcPr>
            <w:tcW w:w="943" w:type="pct"/>
            <w:shd w:val="clear" w:color="auto" w:fill="auto"/>
            <w:vAlign w:val="center"/>
          </w:tcPr>
          <w:p w14:paraId="26167E5E">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i w:val="0"/>
                <w:iCs w:val="0"/>
                <w:color w:val="FF0000"/>
                <w:kern w:val="0"/>
                <w:sz w:val="21"/>
                <w:szCs w:val="21"/>
                <w:u w:val="none"/>
                <w:lang w:val="en-US" w:eastAsia="zh-CN" w:bidi="ar"/>
              </w:rPr>
            </w:pPr>
            <w:r>
              <w:rPr>
                <w:rFonts w:hint="eastAsia" w:ascii="宋体" w:hAnsi="宋体" w:eastAsia="宋体" w:cs="宋体"/>
                <w:i w:val="0"/>
                <w:iCs w:val="0"/>
                <w:color w:val="FF0000"/>
                <w:kern w:val="0"/>
                <w:sz w:val="21"/>
                <w:szCs w:val="21"/>
                <w:u w:val="none"/>
                <w:lang w:val="en-US" w:eastAsia="zh-CN" w:bidi="ar"/>
              </w:rPr>
              <w:t>原料1</w:t>
            </w:r>
          </w:p>
        </w:tc>
        <w:tc>
          <w:tcPr>
            <w:tcW w:w="574" w:type="pct"/>
            <w:shd w:val="clear" w:color="auto" w:fill="auto"/>
            <w:vAlign w:val="center"/>
          </w:tcPr>
          <w:p w14:paraId="53713695">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FF0000"/>
                <w:kern w:val="0"/>
                <w:sz w:val="21"/>
                <w:szCs w:val="21"/>
                <w:u w:val="none"/>
                <w:lang w:val="en-US" w:eastAsia="zh-CN" w:bidi="ar"/>
              </w:rPr>
            </w:pPr>
            <w:r>
              <w:rPr>
                <w:rFonts w:hint="default" w:ascii="Times New Roman" w:hAnsi="Times New Roman" w:eastAsia="宋体" w:cs="Times New Roman"/>
                <w:i w:val="0"/>
                <w:iCs w:val="0"/>
                <w:color w:val="FF0000"/>
                <w:kern w:val="0"/>
                <w:sz w:val="21"/>
                <w:szCs w:val="21"/>
                <w:u w:val="none"/>
                <w:lang w:val="en-US" w:eastAsia="zh-CN" w:bidi="ar"/>
              </w:rPr>
              <w:t>0.11</w:t>
            </w:r>
          </w:p>
        </w:tc>
      </w:tr>
      <w:tr w14:paraId="5BCDB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670C4CF1">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12EF681F">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12</w:t>
            </w:r>
            <w:r>
              <w:rPr>
                <w:rFonts w:hint="eastAsia" w:ascii="Times New Roman" w:hAnsi="Times New Roman" w:eastAsia="宋体" w:cs="Times New Roman"/>
                <w:sz w:val="21"/>
                <w:szCs w:val="21"/>
              </w:rPr>
              <w:t>）</w:t>
            </w:r>
          </w:p>
        </w:tc>
        <w:tc>
          <w:tcPr>
            <w:tcW w:w="1191" w:type="pct"/>
            <w:shd w:val="clear" w:color="auto" w:fill="auto"/>
            <w:vAlign w:val="center"/>
          </w:tcPr>
          <w:p w14:paraId="50B3D9E6">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山东施可丰</w:t>
            </w:r>
          </w:p>
        </w:tc>
        <w:tc>
          <w:tcPr>
            <w:tcW w:w="983" w:type="pct"/>
            <w:shd w:val="clear" w:color="auto" w:fill="auto"/>
            <w:vAlign w:val="center"/>
          </w:tcPr>
          <w:p w14:paraId="5E5B6506">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26-11-11</w:t>
            </w:r>
          </w:p>
        </w:tc>
        <w:tc>
          <w:tcPr>
            <w:tcW w:w="943" w:type="pct"/>
            <w:shd w:val="clear" w:color="auto" w:fill="auto"/>
            <w:vAlign w:val="center"/>
          </w:tcPr>
          <w:p w14:paraId="0F36D3A2">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i w:val="0"/>
                <w:iCs w:val="0"/>
                <w:color w:val="FF0000"/>
                <w:kern w:val="0"/>
                <w:sz w:val="21"/>
                <w:szCs w:val="21"/>
                <w:u w:val="none"/>
                <w:lang w:val="en-US" w:eastAsia="zh-CN" w:bidi="ar"/>
              </w:rPr>
            </w:pPr>
            <w:r>
              <w:rPr>
                <w:rFonts w:hint="eastAsia" w:ascii="宋体" w:hAnsi="宋体" w:eastAsia="宋体" w:cs="宋体"/>
                <w:i w:val="0"/>
                <w:iCs w:val="0"/>
                <w:color w:val="FF0000"/>
                <w:kern w:val="0"/>
                <w:sz w:val="21"/>
                <w:szCs w:val="21"/>
                <w:u w:val="none"/>
                <w:lang w:val="en-US" w:eastAsia="zh-CN" w:bidi="ar"/>
              </w:rPr>
              <w:t>原料2</w:t>
            </w:r>
          </w:p>
        </w:tc>
        <w:tc>
          <w:tcPr>
            <w:tcW w:w="574" w:type="pct"/>
            <w:shd w:val="clear" w:color="auto" w:fill="auto"/>
            <w:vAlign w:val="center"/>
          </w:tcPr>
          <w:p w14:paraId="5C62378F">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i w:val="0"/>
                <w:iCs w:val="0"/>
                <w:color w:val="FF0000"/>
                <w:kern w:val="0"/>
                <w:sz w:val="21"/>
                <w:szCs w:val="21"/>
                <w:u w:val="none"/>
                <w:lang w:val="en-US" w:eastAsia="zh-CN" w:bidi="ar"/>
              </w:rPr>
            </w:pPr>
            <w:r>
              <w:rPr>
                <w:rFonts w:hint="default" w:ascii="Times New Roman" w:hAnsi="Times New Roman" w:eastAsia="宋体" w:cs="Times New Roman"/>
                <w:i w:val="0"/>
                <w:iCs w:val="0"/>
                <w:color w:val="FF0000"/>
                <w:kern w:val="0"/>
                <w:sz w:val="21"/>
                <w:szCs w:val="21"/>
                <w:u w:val="none"/>
                <w:lang w:val="en-US" w:eastAsia="zh-CN" w:bidi="ar"/>
              </w:rPr>
              <w:t>0.12</w:t>
            </w:r>
          </w:p>
        </w:tc>
      </w:tr>
      <w:tr w14:paraId="7697B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14B6B200">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42918238">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13</w:t>
            </w:r>
            <w:r>
              <w:rPr>
                <w:rFonts w:hint="eastAsia" w:ascii="Times New Roman" w:hAnsi="Times New Roman" w:eastAsia="宋体" w:cs="Times New Roman"/>
                <w:sz w:val="21"/>
                <w:szCs w:val="21"/>
                <w:lang w:eastAsia="zh-CN"/>
              </w:rPr>
              <w:t>）</w:t>
            </w:r>
          </w:p>
        </w:tc>
        <w:tc>
          <w:tcPr>
            <w:tcW w:w="1191" w:type="pct"/>
            <w:shd w:val="clear" w:color="auto" w:fill="auto"/>
            <w:vAlign w:val="center"/>
          </w:tcPr>
          <w:p w14:paraId="4C1A8689">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山东施可丰</w:t>
            </w:r>
          </w:p>
        </w:tc>
        <w:tc>
          <w:tcPr>
            <w:tcW w:w="983" w:type="pct"/>
            <w:shd w:val="clear" w:color="auto" w:fill="auto"/>
            <w:vAlign w:val="center"/>
          </w:tcPr>
          <w:p w14:paraId="012372DA">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26-11-11</w:t>
            </w:r>
          </w:p>
        </w:tc>
        <w:tc>
          <w:tcPr>
            <w:tcW w:w="943" w:type="pct"/>
            <w:shd w:val="clear" w:color="auto" w:fill="auto"/>
            <w:vAlign w:val="center"/>
          </w:tcPr>
          <w:p w14:paraId="6C1C56B8">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成品1</w:t>
            </w:r>
          </w:p>
        </w:tc>
        <w:tc>
          <w:tcPr>
            <w:tcW w:w="574" w:type="pct"/>
            <w:shd w:val="clear" w:color="auto" w:fill="auto"/>
            <w:vAlign w:val="center"/>
          </w:tcPr>
          <w:p w14:paraId="3BDAAD03">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0.21</w:t>
            </w:r>
          </w:p>
        </w:tc>
      </w:tr>
      <w:tr w14:paraId="6421F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34BBB3F9">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55E12437">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14</w:t>
            </w:r>
            <w:r>
              <w:rPr>
                <w:rFonts w:hint="eastAsia" w:ascii="Times New Roman" w:hAnsi="Times New Roman" w:eastAsia="宋体" w:cs="Times New Roman"/>
                <w:sz w:val="21"/>
                <w:szCs w:val="21"/>
                <w:lang w:eastAsia="zh-CN"/>
              </w:rPr>
              <w:t>）</w:t>
            </w:r>
          </w:p>
        </w:tc>
        <w:tc>
          <w:tcPr>
            <w:tcW w:w="1191" w:type="pct"/>
            <w:shd w:val="clear" w:color="auto" w:fill="auto"/>
            <w:vAlign w:val="center"/>
          </w:tcPr>
          <w:p w14:paraId="1F830EFA">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山东施可丰</w:t>
            </w:r>
          </w:p>
        </w:tc>
        <w:tc>
          <w:tcPr>
            <w:tcW w:w="983" w:type="pct"/>
            <w:shd w:val="clear" w:color="auto" w:fill="auto"/>
            <w:vAlign w:val="center"/>
          </w:tcPr>
          <w:p w14:paraId="10F00F2D">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26-11-11</w:t>
            </w:r>
          </w:p>
        </w:tc>
        <w:tc>
          <w:tcPr>
            <w:tcW w:w="943" w:type="pct"/>
            <w:shd w:val="clear" w:color="auto" w:fill="auto"/>
            <w:vAlign w:val="center"/>
          </w:tcPr>
          <w:p w14:paraId="3A5BA8D4">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成品2</w:t>
            </w:r>
          </w:p>
        </w:tc>
        <w:tc>
          <w:tcPr>
            <w:tcW w:w="574" w:type="pct"/>
            <w:shd w:val="clear" w:color="auto" w:fill="auto"/>
            <w:vAlign w:val="center"/>
          </w:tcPr>
          <w:p w14:paraId="568B0062">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0.21</w:t>
            </w:r>
          </w:p>
        </w:tc>
      </w:tr>
      <w:tr w14:paraId="76F54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0447DDF5">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30C2FC00">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15</w:t>
            </w:r>
            <w:r>
              <w:rPr>
                <w:rFonts w:hint="eastAsia" w:ascii="Times New Roman" w:hAnsi="Times New Roman" w:eastAsia="宋体" w:cs="Times New Roman"/>
                <w:sz w:val="21"/>
                <w:szCs w:val="21"/>
                <w:lang w:eastAsia="zh-CN"/>
              </w:rPr>
              <w:t>）</w:t>
            </w:r>
          </w:p>
        </w:tc>
        <w:tc>
          <w:tcPr>
            <w:tcW w:w="1191" w:type="pct"/>
            <w:shd w:val="clear" w:color="auto" w:fill="auto"/>
            <w:vAlign w:val="center"/>
          </w:tcPr>
          <w:p w14:paraId="09E62B68">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辽宁东北丰</w:t>
            </w:r>
          </w:p>
        </w:tc>
        <w:tc>
          <w:tcPr>
            <w:tcW w:w="983" w:type="pct"/>
            <w:shd w:val="clear" w:color="auto" w:fill="auto"/>
            <w:vAlign w:val="center"/>
          </w:tcPr>
          <w:p w14:paraId="759B9AD2">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26-11-11</w:t>
            </w:r>
          </w:p>
        </w:tc>
        <w:tc>
          <w:tcPr>
            <w:tcW w:w="943" w:type="pct"/>
            <w:shd w:val="clear" w:color="auto" w:fill="auto"/>
            <w:vAlign w:val="center"/>
          </w:tcPr>
          <w:p w14:paraId="361FF5CE">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i w:val="0"/>
                <w:iCs w:val="0"/>
                <w:color w:val="FF0000"/>
                <w:kern w:val="0"/>
                <w:sz w:val="21"/>
                <w:szCs w:val="21"/>
                <w:u w:val="none"/>
                <w:lang w:val="en-US" w:eastAsia="zh-CN" w:bidi="ar"/>
              </w:rPr>
            </w:pPr>
            <w:r>
              <w:rPr>
                <w:rFonts w:hint="eastAsia" w:ascii="宋体" w:hAnsi="宋体" w:eastAsia="宋体" w:cs="宋体"/>
                <w:i w:val="0"/>
                <w:iCs w:val="0"/>
                <w:color w:val="FF0000"/>
                <w:kern w:val="0"/>
                <w:sz w:val="21"/>
                <w:szCs w:val="21"/>
                <w:u w:val="none"/>
                <w:lang w:val="en-US" w:eastAsia="zh-CN" w:bidi="ar"/>
              </w:rPr>
              <w:t>原料</w:t>
            </w:r>
          </w:p>
        </w:tc>
        <w:tc>
          <w:tcPr>
            <w:tcW w:w="574" w:type="pct"/>
            <w:shd w:val="clear" w:color="auto" w:fill="auto"/>
            <w:vAlign w:val="center"/>
          </w:tcPr>
          <w:p w14:paraId="258785D0">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FF0000"/>
                <w:kern w:val="0"/>
                <w:sz w:val="21"/>
                <w:szCs w:val="21"/>
                <w:u w:val="none"/>
                <w:lang w:val="en-US" w:eastAsia="zh-CN" w:bidi="ar"/>
              </w:rPr>
            </w:pPr>
            <w:r>
              <w:rPr>
                <w:rFonts w:hint="default" w:ascii="Times New Roman" w:hAnsi="Times New Roman" w:eastAsia="宋体" w:cs="Times New Roman"/>
                <w:i w:val="0"/>
                <w:iCs w:val="0"/>
                <w:color w:val="FF0000"/>
                <w:kern w:val="0"/>
                <w:sz w:val="21"/>
                <w:szCs w:val="21"/>
                <w:u w:val="none"/>
                <w:lang w:val="en-US" w:eastAsia="zh-CN" w:bidi="ar"/>
              </w:rPr>
              <w:t>0.18</w:t>
            </w:r>
          </w:p>
        </w:tc>
      </w:tr>
      <w:tr w14:paraId="0E5E7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63A4093B">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28827A91">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1</w:t>
            </w:r>
            <w:r>
              <w:rPr>
                <w:rFonts w:ascii="Times New Roman" w:hAnsi="Times New Roman" w:eastAsia="宋体" w:cs="Times New Roman"/>
                <w:sz w:val="21"/>
                <w:szCs w:val="21"/>
              </w:rPr>
              <w:t>6）</w:t>
            </w:r>
          </w:p>
        </w:tc>
        <w:tc>
          <w:tcPr>
            <w:tcW w:w="1191" w:type="pct"/>
            <w:shd w:val="clear" w:color="auto" w:fill="auto"/>
            <w:vAlign w:val="center"/>
          </w:tcPr>
          <w:p w14:paraId="6B65DE5C">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辽宁东北丰</w:t>
            </w:r>
          </w:p>
        </w:tc>
        <w:tc>
          <w:tcPr>
            <w:tcW w:w="983" w:type="pct"/>
            <w:shd w:val="clear" w:color="auto" w:fill="auto"/>
            <w:vAlign w:val="center"/>
          </w:tcPr>
          <w:p w14:paraId="618DF9A9">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26-11-11</w:t>
            </w:r>
          </w:p>
        </w:tc>
        <w:tc>
          <w:tcPr>
            <w:tcW w:w="943" w:type="pct"/>
            <w:shd w:val="clear" w:color="auto" w:fill="auto"/>
            <w:vAlign w:val="center"/>
          </w:tcPr>
          <w:p w14:paraId="3227AF53">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w:t>
            </w:r>
          </w:p>
        </w:tc>
        <w:tc>
          <w:tcPr>
            <w:tcW w:w="574" w:type="pct"/>
            <w:shd w:val="clear" w:color="auto" w:fill="auto"/>
            <w:vAlign w:val="center"/>
          </w:tcPr>
          <w:p w14:paraId="0C47F4F9">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0.21</w:t>
            </w:r>
          </w:p>
        </w:tc>
      </w:tr>
      <w:tr w14:paraId="56AF0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70E8B33A">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170C16CB">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1</w:t>
            </w:r>
            <w:r>
              <w:rPr>
                <w:rFonts w:hint="eastAsia" w:ascii="Times New Roman" w:hAnsi="Times New Roman" w:eastAsia="宋体" w:cs="Times New Roman"/>
                <w:sz w:val="21"/>
                <w:szCs w:val="21"/>
              </w:rPr>
              <w:t>7）</w:t>
            </w:r>
          </w:p>
        </w:tc>
        <w:tc>
          <w:tcPr>
            <w:tcW w:w="1191" w:type="pct"/>
            <w:shd w:val="clear" w:color="auto" w:fill="auto"/>
            <w:vAlign w:val="center"/>
          </w:tcPr>
          <w:p w14:paraId="462483C0">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辽宁东北丰</w:t>
            </w:r>
          </w:p>
        </w:tc>
        <w:tc>
          <w:tcPr>
            <w:tcW w:w="983" w:type="pct"/>
            <w:shd w:val="clear" w:color="auto" w:fill="auto"/>
            <w:vAlign w:val="center"/>
          </w:tcPr>
          <w:p w14:paraId="3575BD27">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26-11-12</w:t>
            </w:r>
          </w:p>
        </w:tc>
        <w:tc>
          <w:tcPr>
            <w:tcW w:w="943" w:type="pct"/>
            <w:shd w:val="clear" w:color="auto" w:fill="auto"/>
            <w:vAlign w:val="center"/>
          </w:tcPr>
          <w:p w14:paraId="62608DA2">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i w:val="0"/>
                <w:iCs w:val="0"/>
                <w:color w:val="FF0000"/>
                <w:kern w:val="0"/>
                <w:sz w:val="21"/>
                <w:szCs w:val="21"/>
                <w:u w:val="none"/>
                <w:lang w:val="en-US" w:eastAsia="zh-CN" w:bidi="ar"/>
              </w:rPr>
            </w:pPr>
            <w:r>
              <w:rPr>
                <w:rFonts w:hint="eastAsia" w:ascii="宋体" w:hAnsi="宋体" w:eastAsia="宋体" w:cs="宋体"/>
                <w:i w:val="0"/>
                <w:iCs w:val="0"/>
                <w:color w:val="FF0000"/>
                <w:kern w:val="0"/>
                <w:sz w:val="21"/>
                <w:szCs w:val="21"/>
                <w:u w:val="none"/>
                <w:lang w:val="en-US" w:eastAsia="zh-CN" w:bidi="ar"/>
              </w:rPr>
              <w:t>原料</w:t>
            </w:r>
          </w:p>
        </w:tc>
        <w:tc>
          <w:tcPr>
            <w:tcW w:w="574" w:type="pct"/>
            <w:shd w:val="clear" w:color="auto" w:fill="auto"/>
            <w:vAlign w:val="center"/>
          </w:tcPr>
          <w:p w14:paraId="0681D27B">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FF0000"/>
                <w:kern w:val="0"/>
                <w:sz w:val="21"/>
                <w:szCs w:val="21"/>
                <w:u w:val="none"/>
                <w:lang w:val="en-US" w:eastAsia="zh-CN" w:bidi="ar"/>
              </w:rPr>
            </w:pPr>
            <w:r>
              <w:rPr>
                <w:rFonts w:hint="default" w:ascii="Times New Roman" w:hAnsi="Times New Roman" w:eastAsia="宋体" w:cs="Times New Roman"/>
                <w:i w:val="0"/>
                <w:iCs w:val="0"/>
                <w:color w:val="FF0000"/>
                <w:kern w:val="0"/>
                <w:sz w:val="21"/>
                <w:szCs w:val="21"/>
                <w:u w:val="none"/>
                <w:lang w:val="en-US" w:eastAsia="zh-CN" w:bidi="ar"/>
              </w:rPr>
              <w:t>0.06</w:t>
            </w:r>
          </w:p>
        </w:tc>
      </w:tr>
      <w:tr w14:paraId="20E27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7F62F2FA">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4ACA0721">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1</w:t>
            </w:r>
            <w:r>
              <w:rPr>
                <w:rFonts w:hint="eastAsia" w:ascii="Times New Roman" w:hAnsi="Times New Roman" w:eastAsia="宋体" w:cs="Times New Roman"/>
                <w:sz w:val="21"/>
                <w:szCs w:val="21"/>
              </w:rPr>
              <w:t>8）</w:t>
            </w:r>
          </w:p>
        </w:tc>
        <w:tc>
          <w:tcPr>
            <w:tcW w:w="1191" w:type="pct"/>
            <w:shd w:val="clear" w:color="auto" w:fill="auto"/>
            <w:vAlign w:val="center"/>
          </w:tcPr>
          <w:p w14:paraId="31957D99">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辽宁东北丰</w:t>
            </w:r>
          </w:p>
        </w:tc>
        <w:tc>
          <w:tcPr>
            <w:tcW w:w="983" w:type="pct"/>
            <w:shd w:val="clear" w:color="auto" w:fill="auto"/>
            <w:vAlign w:val="center"/>
          </w:tcPr>
          <w:p w14:paraId="4DF0BEA8">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26-11-12</w:t>
            </w:r>
          </w:p>
        </w:tc>
        <w:tc>
          <w:tcPr>
            <w:tcW w:w="943" w:type="pct"/>
            <w:shd w:val="clear" w:color="auto" w:fill="auto"/>
            <w:vAlign w:val="center"/>
          </w:tcPr>
          <w:p w14:paraId="2E36A63E">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w:t>
            </w:r>
          </w:p>
        </w:tc>
        <w:tc>
          <w:tcPr>
            <w:tcW w:w="574" w:type="pct"/>
            <w:shd w:val="clear" w:color="auto" w:fill="auto"/>
            <w:vAlign w:val="center"/>
          </w:tcPr>
          <w:p w14:paraId="67A22373">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0.13</w:t>
            </w:r>
          </w:p>
        </w:tc>
      </w:tr>
      <w:tr w14:paraId="2F510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1F81A7BE">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0BE102DE">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19</w:t>
            </w:r>
            <w:r>
              <w:rPr>
                <w:rFonts w:ascii="Times New Roman" w:hAnsi="Times New Roman" w:eastAsia="宋体" w:cs="Times New Roman"/>
                <w:sz w:val="21"/>
                <w:szCs w:val="21"/>
              </w:rPr>
              <w:t>）</w:t>
            </w:r>
          </w:p>
        </w:tc>
        <w:tc>
          <w:tcPr>
            <w:tcW w:w="1191" w:type="pct"/>
            <w:shd w:val="clear" w:color="auto" w:fill="auto"/>
            <w:vAlign w:val="center"/>
          </w:tcPr>
          <w:p w14:paraId="6B047B30">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黑益旺</w:t>
            </w:r>
          </w:p>
        </w:tc>
        <w:tc>
          <w:tcPr>
            <w:tcW w:w="983" w:type="pct"/>
            <w:shd w:val="clear" w:color="auto" w:fill="auto"/>
            <w:vAlign w:val="center"/>
          </w:tcPr>
          <w:p w14:paraId="16A46C34">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15-15-15</w:t>
            </w:r>
          </w:p>
        </w:tc>
        <w:tc>
          <w:tcPr>
            <w:tcW w:w="943" w:type="pct"/>
            <w:shd w:val="clear" w:color="auto" w:fill="auto"/>
            <w:vAlign w:val="center"/>
          </w:tcPr>
          <w:p w14:paraId="1053A84F">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i w:val="0"/>
                <w:iCs w:val="0"/>
                <w:color w:val="FF0000"/>
                <w:kern w:val="0"/>
                <w:sz w:val="21"/>
                <w:szCs w:val="21"/>
                <w:u w:val="none"/>
                <w:lang w:val="en-US" w:eastAsia="zh-CN" w:bidi="ar"/>
              </w:rPr>
            </w:pPr>
            <w:r>
              <w:rPr>
                <w:rFonts w:hint="eastAsia" w:ascii="宋体" w:hAnsi="宋体" w:eastAsia="宋体" w:cs="宋体"/>
                <w:i w:val="0"/>
                <w:iCs w:val="0"/>
                <w:color w:val="FF0000"/>
                <w:kern w:val="0"/>
                <w:sz w:val="21"/>
                <w:szCs w:val="21"/>
                <w:u w:val="none"/>
                <w:lang w:val="en-US" w:eastAsia="zh-CN" w:bidi="ar"/>
              </w:rPr>
              <w:t>原料</w:t>
            </w:r>
          </w:p>
        </w:tc>
        <w:tc>
          <w:tcPr>
            <w:tcW w:w="574" w:type="pct"/>
            <w:shd w:val="clear" w:color="auto" w:fill="auto"/>
            <w:vAlign w:val="center"/>
          </w:tcPr>
          <w:p w14:paraId="2DA36286">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FF0000"/>
                <w:kern w:val="0"/>
                <w:sz w:val="21"/>
                <w:szCs w:val="21"/>
                <w:u w:val="none"/>
                <w:lang w:val="en-US" w:eastAsia="zh-CN" w:bidi="ar"/>
              </w:rPr>
            </w:pPr>
            <w:r>
              <w:rPr>
                <w:rFonts w:hint="default" w:ascii="Times New Roman" w:hAnsi="Times New Roman" w:eastAsia="宋体" w:cs="Times New Roman"/>
                <w:i w:val="0"/>
                <w:iCs w:val="0"/>
                <w:color w:val="FF0000"/>
                <w:kern w:val="0"/>
                <w:sz w:val="21"/>
                <w:szCs w:val="21"/>
                <w:u w:val="none"/>
                <w:lang w:val="en-US" w:eastAsia="zh-CN" w:bidi="ar"/>
              </w:rPr>
              <w:t>0.40</w:t>
            </w:r>
          </w:p>
        </w:tc>
      </w:tr>
      <w:tr w14:paraId="60648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2CCB9230">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6477DD8E">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20</w:t>
            </w:r>
            <w:r>
              <w:rPr>
                <w:rFonts w:ascii="Times New Roman" w:hAnsi="Times New Roman" w:eastAsia="宋体" w:cs="Times New Roman"/>
                <w:sz w:val="21"/>
                <w:szCs w:val="21"/>
              </w:rPr>
              <w:t>）</w:t>
            </w:r>
          </w:p>
        </w:tc>
        <w:tc>
          <w:tcPr>
            <w:tcW w:w="1191" w:type="pct"/>
            <w:shd w:val="clear" w:color="auto" w:fill="auto"/>
            <w:vAlign w:val="center"/>
          </w:tcPr>
          <w:p w14:paraId="63B84379">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黑益旺</w:t>
            </w:r>
          </w:p>
        </w:tc>
        <w:tc>
          <w:tcPr>
            <w:tcW w:w="983" w:type="pct"/>
            <w:shd w:val="clear" w:color="auto" w:fill="auto"/>
            <w:vAlign w:val="center"/>
          </w:tcPr>
          <w:p w14:paraId="136D20F8">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15-15-15</w:t>
            </w:r>
          </w:p>
        </w:tc>
        <w:tc>
          <w:tcPr>
            <w:tcW w:w="943" w:type="pct"/>
            <w:shd w:val="clear" w:color="auto" w:fill="auto"/>
            <w:vAlign w:val="center"/>
          </w:tcPr>
          <w:p w14:paraId="142CA8FE">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成品</w:t>
            </w:r>
          </w:p>
        </w:tc>
        <w:tc>
          <w:tcPr>
            <w:tcW w:w="574" w:type="pct"/>
            <w:shd w:val="clear" w:color="auto" w:fill="auto"/>
            <w:vAlign w:val="center"/>
          </w:tcPr>
          <w:p w14:paraId="49A11E5B">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default" w:ascii="Times New Roman" w:hAnsi="Times New Roman" w:eastAsia="宋体" w:cs="Times New Roman"/>
                <w:i w:val="0"/>
                <w:iCs w:val="0"/>
                <w:color w:val="FF0000"/>
                <w:kern w:val="0"/>
                <w:sz w:val="21"/>
                <w:szCs w:val="21"/>
                <w:u w:val="none"/>
                <w:lang w:val="en-US" w:eastAsia="zh-CN" w:bidi="ar"/>
              </w:rPr>
              <w:t>0.93</w:t>
            </w:r>
          </w:p>
        </w:tc>
      </w:tr>
      <w:tr w14:paraId="11D2F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04CEA436">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0DF09A0C">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21</w:t>
            </w:r>
            <w:r>
              <w:rPr>
                <w:rFonts w:hint="eastAsia" w:ascii="Times New Roman" w:hAnsi="Times New Roman" w:eastAsia="宋体" w:cs="Times New Roman"/>
                <w:sz w:val="21"/>
                <w:szCs w:val="21"/>
              </w:rPr>
              <w:t>）</w:t>
            </w:r>
          </w:p>
        </w:tc>
        <w:tc>
          <w:tcPr>
            <w:tcW w:w="1191" w:type="pct"/>
            <w:shd w:val="clear" w:color="auto" w:fill="auto"/>
            <w:vAlign w:val="center"/>
          </w:tcPr>
          <w:p w14:paraId="5B33342B">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浙江巨龙</w:t>
            </w:r>
          </w:p>
        </w:tc>
        <w:tc>
          <w:tcPr>
            <w:tcW w:w="983" w:type="pct"/>
            <w:shd w:val="clear" w:color="auto" w:fill="auto"/>
            <w:vAlign w:val="center"/>
          </w:tcPr>
          <w:p w14:paraId="357FE6FB">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26-11-11</w:t>
            </w:r>
          </w:p>
        </w:tc>
        <w:tc>
          <w:tcPr>
            <w:tcW w:w="943" w:type="pct"/>
            <w:shd w:val="clear" w:color="auto" w:fill="auto"/>
            <w:vAlign w:val="center"/>
          </w:tcPr>
          <w:p w14:paraId="37EC3D24">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shd w:val="clear" w:color="auto" w:fill="auto"/>
            <w:vAlign w:val="center"/>
          </w:tcPr>
          <w:p w14:paraId="13E8E2E0">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0.52</w:t>
            </w:r>
          </w:p>
        </w:tc>
      </w:tr>
      <w:tr w14:paraId="39417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6ECD199D">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5CD74DD0">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22</w:t>
            </w:r>
            <w:r>
              <w:rPr>
                <w:rFonts w:hint="eastAsia" w:ascii="Times New Roman" w:hAnsi="Times New Roman" w:eastAsia="宋体" w:cs="Times New Roman"/>
                <w:sz w:val="21"/>
                <w:szCs w:val="21"/>
              </w:rPr>
              <w:t>）</w:t>
            </w:r>
          </w:p>
        </w:tc>
        <w:tc>
          <w:tcPr>
            <w:tcW w:w="1191" w:type="pct"/>
            <w:shd w:val="clear" w:color="auto" w:fill="auto"/>
            <w:vAlign w:val="center"/>
          </w:tcPr>
          <w:p w14:paraId="1925BAE5">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浙江巨龙</w:t>
            </w:r>
          </w:p>
        </w:tc>
        <w:tc>
          <w:tcPr>
            <w:tcW w:w="983" w:type="pct"/>
            <w:shd w:val="clear" w:color="auto" w:fill="auto"/>
            <w:vAlign w:val="center"/>
          </w:tcPr>
          <w:p w14:paraId="641510A0">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16-16-16</w:t>
            </w:r>
          </w:p>
        </w:tc>
        <w:tc>
          <w:tcPr>
            <w:tcW w:w="943" w:type="pct"/>
            <w:shd w:val="clear" w:color="auto" w:fill="auto"/>
            <w:vAlign w:val="center"/>
          </w:tcPr>
          <w:p w14:paraId="1D93601A">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shd w:val="clear" w:color="auto" w:fill="auto"/>
            <w:vAlign w:val="center"/>
          </w:tcPr>
          <w:p w14:paraId="241FC6D7">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0.19</w:t>
            </w:r>
          </w:p>
        </w:tc>
      </w:tr>
      <w:tr w14:paraId="6380F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37D8FA01">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33AE00E8">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w:t>
            </w:r>
            <w:r>
              <w:rPr>
                <w:rFonts w:ascii="Times New Roman" w:hAnsi="Times New Roman" w:eastAsia="宋体" w:cs="Times New Roman"/>
                <w:sz w:val="21"/>
                <w:szCs w:val="21"/>
              </w:rPr>
              <w:t>3）</w:t>
            </w:r>
          </w:p>
        </w:tc>
        <w:tc>
          <w:tcPr>
            <w:tcW w:w="1191" w:type="pct"/>
            <w:shd w:val="clear" w:color="auto" w:fill="auto"/>
            <w:vAlign w:val="center"/>
          </w:tcPr>
          <w:p w14:paraId="3156DF3F">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浙江巨龙</w:t>
            </w:r>
          </w:p>
        </w:tc>
        <w:tc>
          <w:tcPr>
            <w:tcW w:w="983" w:type="pct"/>
            <w:shd w:val="clear" w:color="auto" w:fill="auto"/>
            <w:vAlign w:val="center"/>
          </w:tcPr>
          <w:p w14:paraId="2470DE52">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14-8-23</w:t>
            </w:r>
          </w:p>
        </w:tc>
        <w:tc>
          <w:tcPr>
            <w:tcW w:w="943" w:type="pct"/>
            <w:shd w:val="clear" w:color="auto" w:fill="auto"/>
            <w:vAlign w:val="center"/>
          </w:tcPr>
          <w:p w14:paraId="666B31F1">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shd w:val="clear" w:color="auto" w:fill="auto"/>
            <w:vAlign w:val="center"/>
          </w:tcPr>
          <w:p w14:paraId="58D4E895">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0.29</w:t>
            </w:r>
          </w:p>
        </w:tc>
      </w:tr>
      <w:tr w14:paraId="163D6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031780C3">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42E84C3C">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24</w:t>
            </w:r>
            <w:r>
              <w:rPr>
                <w:rFonts w:ascii="Times New Roman" w:hAnsi="Times New Roman" w:eastAsia="宋体" w:cs="Times New Roman"/>
                <w:sz w:val="21"/>
                <w:szCs w:val="21"/>
              </w:rPr>
              <w:t>）</w:t>
            </w:r>
          </w:p>
        </w:tc>
        <w:tc>
          <w:tcPr>
            <w:tcW w:w="1191" w:type="pct"/>
            <w:shd w:val="clear" w:color="auto" w:fill="auto"/>
            <w:vAlign w:val="center"/>
          </w:tcPr>
          <w:p w14:paraId="5F3B0299">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金仓 四川A客户</w:t>
            </w:r>
          </w:p>
        </w:tc>
        <w:tc>
          <w:tcPr>
            <w:tcW w:w="983" w:type="pct"/>
            <w:shd w:val="clear" w:color="auto" w:fill="auto"/>
            <w:vAlign w:val="center"/>
          </w:tcPr>
          <w:p w14:paraId="0E6A6BF4">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FF0000"/>
                <w:kern w:val="0"/>
                <w:sz w:val="21"/>
                <w:szCs w:val="21"/>
                <w:u w:val="none"/>
                <w:lang w:val="en-US" w:eastAsia="zh-CN" w:bidi="ar"/>
              </w:rPr>
              <w:t>15-15-23</w:t>
            </w:r>
          </w:p>
        </w:tc>
        <w:tc>
          <w:tcPr>
            <w:tcW w:w="943" w:type="pct"/>
            <w:shd w:val="clear" w:color="auto" w:fill="auto"/>
            <w:vAlign w:val="center"/>
          </w:tcPr>
          <w:p w14:paraId="0757BF63">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DMPP:0.037%</w:t>
            </w:r>
          </w:p>
        </w:tc>
        <w:tc>
          <w:tcPr>
            <w:tcW w:w="574" w:type="pct"/>
            <w:shd w:val="clear" w:color="auto" w:fill="auto"/>
            <w:vAlign w:val="center"/>
          </w:tcPr>
          <w:p w14:paraId="065580A0">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default" w:ascii="Times New Roman" w:hAnsi="Times New Roman" w:eastAsia="宋体" w:cs="Times New Roman"/>
                <w:i w:val="0"/>
                <w:iCs w:val="0"/>
                <w:color w:val="FF0000"/>
                <w:kern w:val="0"/>
                <w:sz w:val="21"/>
                <w:szCs w:val="21"/>
                <w:u w:val="none"/>
                <w:lang w:val="en-US" w:eastAsia="zh-CN" w:bidi="ar"/>
              </w:rPr>
              <w:t>0.95</w:t>
            </w:r>
          </w:p>
        </w:tc>
      </w:tr>
      <w:tr w14:paraId="141A4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4928DCA9">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61E4A3C6">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w:t>
            </w:r>
            <w:r>
              <w:rPr>
                <w:rFonts w:ascii="Times New Roman" w:hAnsi="Times New Roman" w:eastAsia="宋体" w:cs="Times New Roman"/>
                <w:sz w:val="21"/>
                <w:szCs w:val="21"/>
              </w:rPr>
              <w:t>5）</w:t>
            </w:r>
          </w:p>
        </w:tc>
        <w:tc>
          <w:tcPr>
            <w:tcW w:w="1191" w:type="pct"/>
            <w:shd w:val="clear" w:color="auto" w:fill="auto"/>
            <w:vAlign w:val="center"/>
          </w:tcPr>
          <w:p w14:paraId="653A6B6F">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金仓 广东A客户</w:t>
            </w:r>
          </w:p>
        </w:tc>
        <w:tc>
          <w:tcPr>
            <w:tcW w:w="983" w:type="pct"/>
            <w:shd w:val="clear" w:color="auto" w:fill="auto"/>
            <w:vAlign w:val="center"/>
          </w:tcPr>
          <w:p w14:paraId="2DF91FF2">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p>
        </w:tc>
        <w:tc>
          <w:tcPr>
            <w:tcW w:w="943" w:type="pct"/>
            <w:shd w:val="clear" w:color="auto" w:fill="auto"/>
            <w:vAlign w:val="center"/>
          </w:tcPr>
          <w:p w14:paraId="2EFB4BA1">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DMPP:0.025%</w:t>
            </w:r>
          </w:p>
        </w:tc>
        <w:tc>
          <w:tcPr>
            <w:tcW w:w="574" w:type="pct"/>
            <w:shd w:val="clear" w:color="auto" w:fill="auto"/>
            <w:vAlign w:val="center"/>
          </w:tcPr>
          <w:p w14:paraId="77755EAD">
            <w:pPr>
              <w:keepLines w:val="0"/>
              <w:pageBreakBefore w:val="0"/>
              <w:wordWrap/>
              <w:overflowPunct/>
              <w:topLinePunct w:val="0"/>
              <w:bidi w:val="0"/>
              <w:spacing w:line="360" w:lineRule="auto"/>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r>
      <w:tr w14:paraId="343B9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1AB0DA3B">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5D837F90">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w:t>
            </w:r>
            <w:r>
              <w:rPr>
                <w:rFonts w:ascii="Times New Roman" w:hAnsi="Times New Roman" w:eastAsia="宋体" w:cs="Times New Roman"/>
                <w:sz w:val="21"/>
                <w:szCs w:val="21"/>
              </w:rPr>
              <w:t>6）</w:t>
            </w:r>
          </w:p>
        </w:tc>
        <w:tc>
          <w:tcPr>
            <w:tcW w:w="1191" w:type="pct"/>
            <w:shd w:val="clear" w:color="auto" w:fill="auto"/>
            <w:vAlign w:val="center"/>
          </w:tcPr>
          <w:p w14:paraId="58DA00DC">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金仓 湖北B客户</w:t>
            </w:r>
          </w:p>
        </w:tc>
        <w:tc>
          <w:tcPr>
            <w:tcW w:w="983" w:type="pct"/>
            <w:shd w:val="clear" w:color="auto" w:fill="auto"/>
            <w:vAlign w:val="center"/>
          </w:tcPr>
          <w:p w14:paraId="7193AA70">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FF0000"/>
                <w:kern w:val="0"/>
                <w:sz w:val="21"/>
                <w:szCs w:val="21"/>
                <w:u w:val="none"/>
                <w:lang w:val="en-US" w:eastAsia="zh-CN" w:bidi="ar"/>
              </w:rPr>
              <w:t>复合肥</w:t>
            </w:r>
          </w:p>
        </w:tc>
        <w:tc>
          <w:tcPr>
            <w:tcW w:w="943" w:type="pct"/>
            <w:shd w:val="clear" w:color="auto" w:fill="auto"/>
            <w:vAlign w:val="center"/>
          </w:tcPr>
          <w:p w14:paraId="534AA4A2">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DMPP:0.04%</w:t>
            </w:r>
          </w:p>
        </w:tc>
        <w:tc>
          <w:tcPr>
            <w:tcW w:w="574" w:type="pct"/>
            <w:shd w:val="clear" w:color="auto" w:fill="auto"/>
            <w:vAlign w:val="center"/>
          </w:tcPr>
          <w:p w14:paraId="6F05F0F4">
            <w:pPr>
              <w:keepLines w:val="0"/>
              <w:pageBreakBefore w:val="0"/>
              <w:wordWrap/>
              <w:overflowPunct/>
              <w:topLinePunct w:val="0"/>
              <w:bidi w:val="0"/>
              <w:spacing w:line="360" w:lineRule="auto"/>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r>
      <w:tr w14:paraId="706F5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541218A4">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40D3620D">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w:t>
            </w:r>
            <w:r>
              <w:rPr>
                <w:rFonts w:hint="eastAsia" w:ascii="Times New Roman" w:hAnsi="Times New Roman" w:eastAsia="宋体" w:cs="Times New Roman"/>
                <w:sz w:val="21"/>
                <w:szCs w:val="21"/>
              </w:rPr>
              <w:t>7）</w:t>
            </w:r>
          </w:p>
        </w:tc>
        <w:tc>
          <w:tcPr>
            <w:tcW w:w="1191" w:type="pct"/>
            <w:shd w:val="clear" w:color="auto" w:fill="auto"/>
            <w:vAlign w:val="center"/>
          </w:tcPr>
          <w:p w14:paraId="4369823E">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金仓 湖北A客户</w:t>
            </w:r>
          </w:p>
        </w:tc>
        <w:tc>
          <w:tcPr>
            <w:tcW w:w="983" w:type="pct"/>
            <w:shd w:val="clear" w:color="auto" w:fill="auto"/>
            <w:vAlign w:val="center"/>
          </w:tcPr>
          <w:p w14:paraId="1220044C">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FF0000"/>
                <w:kern w:val="0"/>
                <w:sz w:val="21"/>
                <w:szCs w:val="21"/>
                <w:u w:val="none"/>
                <w:lang w:val="en-US" w:eastAsia="zh-CN" w:bidi="ar"/>
              </w:rPr>
              <w:t>13-6-29 错</w:t>
            </w:r>
          </w:p>
        </w:tc>
        <w:tc>
          <w:tcPr>
            <w:tcW w:w="943" w:type="pct"/>
            <w:shd w:val="clear" w:color="auto" w:fill="auto"/>
            <w:vAlign w:val="center"/>
          </w:tcPr>
          <w:p w14:paraId="002358D4">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DMPP:0.05%</w:t>
            </w:r>
          </w:p>
        </w:tc>
        <w:tc>
          <w:tcPr>
            <w:tcW w:w="574" w:type="pct"/>
            <w:shd w:val="clear" w:color="auto" w:fill="auto"/>
            <w:vAlign w:val="center"/>
          </w:tcPr>
          <w:p w14:paraId="7B470A8D">
            <w:pPr>
              <w:keepLines w:val="0"/>
              <w:pageBreakBefore w:val="0"/>
              <w:wordWrap/>
              <w:overflowPunct/>
              <w:topLinePunct w:val="0"/>
              <w:bidi w:val="0"/>
              <w:spacing w:line="360" w:lineRule="auto"/>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r>
      <w:tr w14:paraId="7C810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6E18AF8E">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3FF35F31">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w:t>
            </w:r>
            <w:r>
              <w:rPr>
                <w:rFonts w:hint="eastAsia" w:ascii="Times New Roman" w:hAnsi="Times New Roman" w:eastAsia="宋体" w:cs="Times New Roman"/>
                <w:sz w:val="21"/>
                <w:szCs w:val="21"/>
              </w:rPr>
              <w:t>8）</w:t>
            </w:r>
          </w:p>
        </w:tc>
        <w:tc>
          <w:tcPr>
            <w:tcW w:w="1191" w:type="pct"/>
            <w:shd w:val="clear" w:color="auto" w:fill="auto"/>
            <w:vAlign w:val="center"/>
          </w:tcPr>
          <w:p w14:paraId="23E394D9">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天宝丰</w:t>
            </w:r>
          </w:p>
        </w:tc>
        <w:tc>
          <w:tcPr>
            <w:tcW w:w="983" w:type="pct"/>
            <w:shd w:val="clear" w:color="auto" w:fill="auto"/>
            <w:vAlign w:val="center"/>
          </w:tcPr>
          <w:p w14:paraId="3349FB1F">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22-8-10</w:t>
            </w:r>
          </w:p>
        </w:tc>
        <w:tc>
          <w:tcPr>
            <w:tcW w:w="943" w:type="pct"/>
            <w:shd w:val="clear" w:color="auto" w:fill="auto"/>
            <w:vAlign w:val="center"/>
          </w:tcPr>
          <w:p w14:paraId="09DA4DCA">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color w:val="FF0000"/>
                <w:kern w:val="2"/>
                <w:sz w:val="21"/>
                <w:szCs w:val="21"/>
                <w:lang w:val="en-US" w:eastAsia="zh-CN" w:bidi="ar-SA"/>
              </w:rPr>
              <w:t>原料</w:t>
            </w:r>
          </w:p>
        </w:tc>
        <w:tc>
          <w:tcPr>
            <w:tcW w:w="574" w:type="pct"/>
            <w:shd w:val="clear" w:color="auto" w:fill="auto"/>
            <w:vAlign w:val="center"/>
          </w:tcPr>
          <w:p w14:paraId="1CB06E0D">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FF0000"/>
                <w:kern w:val="0"/>
                <w:sz w:val="21"/>
                <w:szCs w:val="21"/>
                <w:u w:val="none"/>
                <w:lang w:val="en-US" w:eastAsia="zh-CN" w:bidi="ar"/>
              </w:rPr>
            </w:pPr>
            <w:r>
              <w:rPr>
                <w:rFonts w:hint="default" w:ascii="Times New Roman" w:hAnsi="Times New Roman" w:eastAsia="宋体" w:cs="Times New Roman"/>
                <w:i w:val="0"/>
                <w:iCs w:val="0"/>
                <w:color w:val="FF0000"/>
                <w:kern w:val="0"/>
                <w:sz w:val="21"/>
                <w:szCs w:val="21"/>
                <w:u w:val="none"/>
                <w:lang w:val="en-US" w:eastAsia="zh-CN" w:bidi="ar"/>
              </w:rPr>
              <w:t>1.51</w:t>
            </w:r>
          </w:p>
        </w:tc>
      </w:tr>
      <w:tr w14:paraId="080BE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718FF717">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424658E6">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29</w:t>
            </w:r>
            <w:r>
              <w:rPr>
                <w:rFonts w:ascii="Times New Roman" w:hAnsi="Times New Roman" w:eastAsia="宋体" w:cs="Times New Roman"/>
                <w:sz w:val="21"/>
                <w:szCs w:val="21"/>
              </w:rPr>
              <w:t>）</w:t>
            </w:r>
          </w:p>
        </w:tc>
        <w:tc>
          <w:tcPr>
            <w:tcW w:w="1191" w:type="pct"/>
            <w:shd w:val="clear" w:color="auto" w:fill="auto"/>
            <w:vAlign w:val="center"/>
          </w:tcPr>
          <w:p w14:paraId="372770F5">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天宝丰</w:t>
            </w:r>
          </w:p>
        </w:tc>
        <w:tc>
          <w:tcPr>
            <w:tcW w:w="983" w:type="pct"/>
            <w:shd w:val="clear" w:color="auto" w:fill="auto"/>
            <w:vAlign w:val="center"/>
          </w:tcPr>
          <w:p w14:paraId="6CE5EB44">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22-8-10</w:t>
            </w:r>
          </w:p>
        </w:tc>
        <w:tc>
          <w:tcPr>
            <w:tcW w:w="943" w:type="pct"/>
            <w:shd w:val="clear" w:color="auto" w:fill="auto"/>
            <w:vAlign w:val="center"/>
          </w:tcPr>
          <w:p w14:paraId="222DB5B0">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shd w:val="clear" w:color="auto" w:fill="auto"/>
            <w:vAlign w:val="center"/>
          </w:tcPr>
          <w:p w14:paraId="59DB416E">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2.37</w:t>
            </w:r>
          </w:p>
        </w:tc>
      </w:tr>
      <w:tr w14:paraId="3D525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771EB728">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2ED2F6BB">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30</w:t>
            </w:r>
            <w:r>
              <w:rPr>
                <w:rFonts w:ascii="Times New Roman" w:hAnsi="Times New Roman" w:eastAsia="宋体" w:cs="Times New Roman"/>
                <w:sz w:val="21"/>
                <w:szCs w:val="21"/>
              </w:rPr>
              <w:t>）</w:t>
            </w:r>
          </w:p>
        </w:tc>
        <w:tc>
          <w:tcPr>
            <w:tcW w:w="1191" w:type="pct"/>
            <w:shd w:val="clear" w:color="auto" w:fill="auto"/>
            <w:vAlign w:val="center"/>
          </w:tcPr>
          <w:p w14:paraId="320EEE49">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蓝天宝丰</w:t>
            </w:r>
          </w:p>
        </w:tc>
        <w:tc>
          <w:tcPr>
            <w:tcW w:w="983" w:type="pct"/>
            <w:shd w:val="clear" w:color="auto" w:fill="auto"/>
            <w:vAlign w:val="center"/>
          </w:tcPr>
          <w:p w14:paraId="116D7979">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20-5-7</w:t>
            </w:r>
          </w:p>
        </w:tc>
        <w:tc>
          <w:tcPr>
            <w:tcW w:w="943" w:type="pct"/>
            <w:shd w:val="clear" w:color="auto" w:fill="auto"/>
            <w:vAlign w:val="center"/>
          </w:tcPr>
          <w:p w14:paraId="74C95F5C">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color w:val="FF0000"/>
                <w:kern w:val="2"/>
                <w:sz w:val="21"/>
                <w:szCs w:val="21"/>
                <w:lang w:val="en-US" w:eastAsia="zh-CN" w:bidi="ar-SA"/>
              </w:rPr>
              <w:t>原料</w:t>
            </w:r>
          </w:p>
        </w:tc>
        <w:tc>
          <w:tcPr>
            <w:tcW w:w="574" w:type="pct"/>
            <w:shd w:val="clear" w:color="auto" w:fill="auto"/>
            <w:vAlign w:val="center"/>
          </w:tcPr>
          <w:p w14:paraId="03DBA72D">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color w:val="FF0000"/>
                <w:kern w:val="2"/>
                <w:sz w:val="21"/>
                <w:szCs w:val="21"/>
                <w:lang w:val="en-US" w:eastAsia="zh-CN" w:bidi="ar-SA"/>
              </w:rPr>
            </w:pPr>
            <w:r>
              <w:rPr>
                <w:rFonts w:hint="default" w:ascii="Times New Roman" w:hAnsi="Times New Roman" w:eastAsia="宋体" w:cs="Times New Roman"/>
                <w:i w:val="0"/>
                <w:iCs w:val="0"/>
                <w:color w:val="FF0000"/>
                <w:kern w:val="0"/>
                <w:sz w:val="21"/>
                <w:szCs w:val="21"/>
                <w:u w:val="none"/>
                <w:lang w:val="en-US" w:eastAsia="zh-CN" w:bidi="ar"/>
              </w:rPr>
              <w:t>0.09</w:t>
            </w:r>
          </w:p>
        </w:tc>
      </w:tr>
      <w:tr w14:paraId="19B8F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2DFA2588">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10EF56C3">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31</w:t>
            </w:r>
            <w:r>
              <w:rPr>
                <w:rFonts w:ascii="Times New Roman" w:hAnsi="Times New Roman" w:eastAsia="宋体" w:cs="Times New Roman"/>
                <w:sz w:val="21"/>
                <w:szCs w:val="21"/>
              </w:rPr>
              <w:t>）</w:t>
            </w:r>
          </w:p>
        </w:tc>
        <w:tc>
          <w:tcPr>
            <w:tcW w:w="1191" w:type="pct"/>
            <w:shd w:val="clear" w:color="auto" w:fill="auto"/>
            <w:vAlign w:val="center"/>
          </w:tcPr>
          <w:p w14:paraId="04257D1A">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蓝天宝丰</w:t>
            </w:r>
          </w:p>
        </w:tc>
        <w:tc>
          <w:tcPr>
            <w:tcW w:w="983" w:type="pct"/>
            <w:shd w:val="clear" w:color="auto" w:fill="auto"/>
            <w:vAlign w:val="center"/>
          </w:tcPr>
          <w:p w14:paraId="02A81D54">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20-5-7</w:t>
            </w:r>
          </w:p>
        </w:tc>
        <w:tc>
          <w:tcPr>
            <w:tcW w:w="943" w:type="pct"/>
            <w:shd w:val="clear" w:color="auto" w:fill="auto"/>
            <w:vAlign w:val="center"/>
          </w:tcPr>
          <w:p w14:paraId="18265CA4">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shd w:val="clear" w:color="auto" w:fill="auto"/>
            <w:vAlign w:val="center"/>
          </w:tcPr>
          <w:p w14:paraId="4E15354E">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0.07</w:t>
            </w:r>
          </w:p>
        </w:tc>
      </w:tr>
      <w:tr w14:paraId="279DE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6CBF28BB">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347EB8DC">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3</w:t>
            </w:r>
            <w:r>
              <w:rPr>
                <w:rFonts w:ascii="Times New Roman" w:hAnsi="Times New Roman" w:eastAsia="宋体" w:cs="Times New Roman"/>
                <w:sz w:val="21"/>
                <w:szCs w:val="21"/>
              </w:rPr>
              <w:t>2）</w:t>
            </w:r>
          </w:p>
        </w:tc>
        <w:tc>
          <w:tcPr>
            <w:tcW w:w="1191" w:type="pct"/>
            <w:shd w:val="clear" w:color="auto" w:fill="auto"/>
            <w:vAlign w:val="center"/>
          </w:tcPr>
          <w:p w14:paraId="215D3DDD">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中嘉化肥</w:t>
            </w:r>
          </w:p>
        </w:tc>
        <w:tc>
          <w:tcPr>
            <w:tcW w:w="983" w:type="pct"/>
            <w:shd w:val="clear" w:color="auto" w:fill="auto"/>
            <w:vAlign w:val="center"/>
          </w:tcPr>
          <w:p w14:paraId="15BF7A75">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26-10-12</w:t>
            </w:r>
          </w:p>
        </w:tc>
        <w:tc>
          <w:tcPr>
            <w:tcW w:w="943" w:type="pct"/>
            <w:shd w:val="clear" w:color="auto" w:fill="auto"/>
            <w:vAlign w:val="center"/>
          </w:tcPr>
          <w:p w14:paraId="7D2C29DE">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shd w:val="clear" w:color="auto" w:fill="auto"/>
            <w:vAlign w:val="center"/>
          </w:tcPr>
          <w:p w14:paraId="481C740A">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0.14</w:t>
            </w:r>
          </w:p>
        </w:tc>
      </w:tr>
      <w:tr w14:paraId="046F9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2B051158">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570AE257">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3</w:t>
            </w:r>
            <w:r>
              <w:rPr>
                <w:rFonts w:ascii="Times New Roman" w:hAnsi="Times New Roman" w:eastAsia="宋体" w:cs="Times New Roman"/>
                <w:sz w:val="21"/>
                <w:szCs w:val="21"/>
              </w:rPr>
              <w:t>3）</w:t>
            </w:r>
          </w:p>
        </w:tc>
        <w:tc>
          <w:tcPr>
            <w:tcW w:w="1191" w:type="pct"/>
            <w:shd w:val="clear" w:color="auto" w:fill="auto"/>
            <w:vAlign w:val="center"/>
          </w:tcPr>
          <w:p w14:paraId="02653187">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中嘉化肥</w:t>
            </w:r>
          </w:p>
        </w:tc>
        <w:tc>
          <w:tcPr>
            <w:tcW w:w="983" w:type="pct"/>
            <w:shd w:val="clear" w:color="auto" w:fill="auto"/>
            <w:vAlign w:val="center"/>
          </w:tcPr>
          <w:p w14:paraId="23FEF839">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26-10-12</w:t>
            </w:r>
          </w:p>
        </w:tc>
        <w:tc>
          <w:tcPr>
            <w:tcW w:w="943" w:type="pct"/>
            <w:shd w:val="clear" w:color="auto" w:fill="auto"/>
            <w:vAlign w:val="center"/>
          </w:tcPr>
          <w:p w14:paraId="6EC1822E">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color w:val="FF0000"/>
                <w:kern w:val="2"/>
                <w:sz w:val="21"/>
                <w:szCs w:val="21"/>
                <w:lang w:val="en-US" w:eastAsia="zh-CN" w:bidi="ar-SA"/>
              </w:rPr>
              <w:t>原料</w:t>
            </w:r>
          </w:p>
        </w:tc>
        <w:tc>
          <w:tcPr>
            <w:tcW w:w="574" w:type="pct"/>
            <w:shd w:val="clear" w:color="auto" w:fill="auto"/>
            <w:vAlign w:val="center"/>
          </w:tcPr>
          <w:p w14:paraId="3352299B">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FF0000"/>
                <w:kern w:val="0"/>
                <w:sz w:val="21"/>
                <w:szCs w:val="21"/>
                <w:u w:val="none"/>
                <w:lang w:val="en-US" w:eastAsia="zh-CN" w:bidi="ar"/>
              </w:rPr>
            </w:pPr>
            <w:r>
              <w:rPr>
                <w:rFonts w:hint="default" w:ascii="Times New Roman" w:hAnsi="Times New Roman" w:eastAsia="宋体" w:cs="Times New Roman"/>
                <w:i w:val="0"/>
                <w:iCs w:val="0"/>
                <w:color w:val="FF0000"/>
                <w:kern w:val="0"/>
                <w:sz w:val="21"/>
                <w:szCs w:val="21"/>
                <w:u w:val="none"/>
                <w:lang w:val="en-US" w:eastAsia="zh-CN" w:bidi="ar"/>
              </w:rPr>
              <w:t>0.26</w:t>
            </w:r>
          </w:p>
        </w:tc>
      </w:tr>
      <w:tr w14:paraId="07DF9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0538B0D9">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1977FBB4">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3</w:t>
            </w:r>
            <w:r>
              <w:rPr>
                <w:rFonts w:ascii="Times New Roman" w:hAnsi="Times New Roman" w:eastAsia="宋体" w:cs="Times New Roman"/>
                <w:sz w:val="21"/>
                <w:szCs w:val="21"/>
              </w:rPr>
              <w:t>4）</w:t>
            </w:r>
          </w:p>
        </w:tc>
        <w:tc>
          <w:tcPr>
            <w:tcW w:w="1191" w:type="pct"/>
            <w:shd w:val="clear" w:color="auto" w:fill="auto"/>
            <w:vAlign w:val="center"/>
          </w:tcPr>
          <w:p w14:paraId="0F7D0E30">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山东祥云</w:t>
            </w:r>
          </w:p>
        </w:tc>
        <w:tc>
          <w:tcPr>
            <w:tcW w:w="983" w:type="pct"/>
            <w:shd w:val="clear" w:color="auto" w:fill="auto"/>
            <w:vAlign w:val="center"/>
          </w:tcPr>
          <w:p w14:paraId="347DFB3D">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26-10-12</w:t>
            </w:r>
          </w:p>
        </w:tc>
        <w:tc>
          <w:tcPr>
            <w:tcW w:w="943" w:type="pct"/>
            <w:shd w:val="clear" w:color="auto" w:fill="auto"/>
            <w:vAlign w:val="center"/>
          </w:tcPr>
          <w:p w14:paraId="57826289">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shd w:val="clear" w:color="auto" w:fill="auto"/>
            <w:vAlign w:val="center"/>
          </w:tcPr>
          <w:p w14:paraId="1152B801">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0.26</w:t>
            </w:r>
          </w:p>
        </w:tc>
      </w:tr>
      <w:tr w14:paraId="632E3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6851738A">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302E3122">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3</w:t>
            </w:r>
            <w:r>
              <w:rPr>
                <w:rFonts w:ascii="Times New Roman" w:hAnsi="Times New Roman" w:eastAsia="宋体" w:cs="Times New Roman"/>
                <w:sz w:val="21"/>
                <w:szCs w:val="21"/>
              </w:rPr>
              <w:t>5）</w:t>
            </w:r>
          </w:p>
        </w:tc>
        <w:tc>
          <w:tcPr>
            <w:tcW w:w="1191" w:type="pct"/>
            <w:shd w:val="clear" w:color="auto" w:fill="auto"/>
            <w:vAlign w:val="center"/>
          </w:tcPr>
          <w:p w14:paraId="304954F8">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山东祥云</w:t>
            </w:r>
          </w:p>
        </w:tc>
        <w:tc>
          <w:tcPr>
            <w:tcW w:w="983" w:type="pct"/>
            <w:shd w:val="clear" w:color="auto" w:fill="auto"/>
            <w:vAlign w:val="center"/>
          </w:tcPr>
          <w:p w14:paraId="64BEA63C">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26-10-12</w:t>
            </w:r>
          </w:p>
        </w:tc>
        <w:tc>
          <w:tcPr>
            <w:tcW w:w="943" w:type="pct"/>
            <w:shd w:val="clear" w:color="auto" w:fill="auto"/>
            <w:vAlign w:val="center"/>
          </w:tcPr>
          <w:p w14:paraId="15031E63">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color w:val="FF0000"/>
                <w:kern w:val="2"/>
                <w:sz w:val="21"/>
                <w:szCs w:val="21"/>
                <w:lang w:val="en-US" w:eastAsia="zh-CN" w:bidi="ar-SA"/>
              </w:rPr>
              <w:t>原料</w:t>
            </w:r>
          </w:p>
        </w:tc>
        <w:tc>
          <w:tcPr>
            <w:tcW w:w="574" w:type="pct"/>
            <w:shd w:val="clear" w:color="auto" w:fill="auto"/>
            <w:vAlign w:val="center"/>
          </w:tcPr>
          <w:p w14:paraId="4FB2B832">
            <w:pPr>
              <w:keepNext w:val="0"/>
              <w:keepLines w:val="0"/>
              <w:pageBreakBefore w:val="0"/>
              <w:widowControl/>
              <w:suppressLineNumbers w:val="0"/>
              <w:wordWrap/>
              <w:overflowPunct/>
              <w:topLinePunct w:val="0"/>
              <w:bidi w:val="0"/>
              <w:spacing w:line="360" w:lineRule="auto"/>
              <w:jc w:val="center"/>
              <w:textAlignment w:val="center"/>
              <w:rPr>
                <w:rFonts w:hint="eastAsia" w:ascii="宋体" w:hAnsi="宋体" w:eastAsia="宋体" w:cs="宋体"/>
                <w:i w:val="0"/>
                <w:iCs w:val="0"/>
                <w:color w:val="FF0000"/>
                <w:kern w:val="0"/>
                <w:sz w:val="21"/>
                <w:szCs w:val="21"/>
                <w:u w:val="none"/>
                <w:lang w:val="en-US" w:eastAsia="zh-CN" w:bidi="ar"/>
              </w:rPr>
            </w:pPr>
            <w:r>
              <w:rPr>
                <w:rFonts w:hint="default" w:ascii="Times New Roman" w:hAnsi="Times New Roman" w:eastAsia="宋体" w:cs="Times New Roman"/>
                <w:i w:val="0"/>
                <w:iCs w:val="0"/>
                <w:color w:val="FF0000"/>
                <w:kern w:val="0"/>
                <w:sz w:val="21"/>
                <w:szCs w:val="21"/>
                <w:u w:val="none"/>
                <w:lang w:val="en-US" w:eastAsia="zh-CN" w:bidi="ar"/>
              </w:rPr>
              <w:t>0.26</w:t>
            </w:r>
          </w:p>
        </w:tc>
      </w:tr>
      <w:tr w14:paraId="1EF6F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2A54AE16">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1E02A9AC">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3</w:t>
            </w:r>
            <w:r>
              <w:rPr>
                <w:rFonts w:ascii="Times New Roman" w:hAnsi="Times New Roman" w:eastAsia="宋体" w:cs="Times New Roman"/>
                <w:sz w:val="21"/>
                <w:szCs w:val="21"/>
              </w:rPr>
              <w:t>6）</w:t>
            </w:r>
          </w:p>
        </w:tc>
        <w:tc>
          <w:tcPr>
            <w:tcW w:w="1191" w:type="pct"/>
            <w:shd w:val="clear" w:color="auto" w:fill="auto"/>
            <w:vAlign w:val="center"/>
          </w:tcPr>
          <w:p w14:paraId="0C0CD567">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中科国投</w:t>
            </w:r>
          </w:p>
        </w:tc>
        <w:tc>
          <w:tcPr>
            <w:tcW w:w="983" w:type="pct"/>
            <w:shd w:val="clear" w:color="auto" w:fill="auto"/>
            <w:vAlign w:val="center"/>
          </w:tcPr>
          <w:p w14:paraId="78B7B07B">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26-10-12</w:t>
            </w:r>
          </w:p>
        </w:tc>
        <w:tc>
          <w:tcPr>
            <w:tcW w:w="943" w:type="pct"/>
            <w:shd w:val="clear" w:color="auto" w:fill="auto"/>
            <w:vAlign w:val="center"/>
          </w:tcPr>
          <w:p w14:paraId="45D1B653">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原料</w:t>
            </w:r>
          </w:p>
        </w:tc>
        <w:tc>
          <w:tcPr>
            <w:tcW w:w="574" w:type="pct"/>
            <w:shd w:val="clear" w:color="auto" w:fill="auto"/>
            <w:vAlign w:val="center"/>
          </w:tcPr>
          <w:p w14:paraId="1CAA93A6">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0.13</w:t>
            </w:r>
          </w:p>
        </w:tc>
      </w:tr>
      <w:tr w14:paraId="673F6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5EF255C7">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4A2C4E8B">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3</w:t>
            </w:r>
            <w:r>
              <w:rPr>
                <w:rFonts w:hint="eastAsia" w:ascii="Times New Roman" w:hAnsi="Times New Roman" w:eastAsia="宋体" w:cs="Times New Roman"/>
                <w:sz w:val="21"/>
                <w:szCs w:val="21"/>
              </w:rPr>
              <w:t>7）</w:t>
            </w:r>
          </w:p>
        </w:tc>
        <w:tc>
          <w:tcPr>
            <w:tcW w:w="1191" w:type="pct"/>
            <w:shd w:val="clear" w:color="auto" w:fill="auto"/>
            <w:vAlign w:val="center"/>
          </w:tcPr>
          <w:p w14:paraId="5DC08AA8">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中科国投</w:t>
            </w:r>
          </w:p>
        </w:tc>
        <w:tc>
          <w:tcPr>
            <w:tcW w:w="983" w:type="pct"/>
            <w:shd w:val="clear" w:color="auto" w:fill="auto"/>
            <w:vAlign w:val="center"/>
          </w:tcPr>
          <w:p w14:paraId="3DED26F4">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26-10-12</w:t>
            </w:r>
          </w:p>
        </w:tc>
        <w:tc>
          <w:tcPr>
            <w:tcW w:w="943" w:type="pct"/>
            <w:shd w:val="clear" w:color="auto" w:fill="auto"/>
            <w:vAlign w:val="center"/>
          </w:tcPr>
          <w:p w14:paraId="554298AC">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shd w:val="clear" w:color="auto" w:fill="auto"/>
            <w:vAlign w:val="center"/>
          </w:tcPr>
          <w:p w14:paraId="30F54122">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0.15</w:t>
            </w:r>
          </w:p>
        </w:tc>
      </w:tr>
      <w:tr w14:paraId="38C27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4C470618">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6D28F267">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3</w:t>
            </w:r>
            <w:r>
              <w:rPr>
                <w:rFonts w:hint="eastAsia" w:ascii="Times New Roman" w:hAnsi="Times New Roman" w:eastAsia="宋体" w:cs="Times New Roman"/>
                <w:sz w:val="21"/>
                <w:szCs w:val="21"/>
              </w:rPr>
              <w:t>8）</w:t>
            </w:r>
          </w:p>
        </w:tc>
        <w:tc>
          <w:tcPr>
            <w:tcW w:w="1191" w:type="pct"/>
            <w:shd w:val="clear" w:color="auto" w:fill="auto"/>
            <w:vAlign w:val="center"/>
          </w:tcPr>
          <w:p w14:paraId="5E9113BD">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东北丰</w:t>
            </w:r>
          </w:p>
        </w:tc>
        <w:tc>
          <w:tcPr>
            <w:tcW w:w="983" w:type="pct"/>
            <w:shd w:val="clear" w:color="auto" w:fill="auto"/>
            <w:vAlign w:val="center"/>
          </w:tcPr>
          <w:p w14:paraId="6BBE4A8A">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26-11-11</w:t>
            </w:r>
          </w:p>
        </w:tc>
        <w:tc>
          <w:tcPr>
            <w:tcW w:w="943" w:type="pct"/>
            <w:shd w:val="clear" w:color="auto" w:fill="auto"/>
            <w:vAlign w:val="center"/>
          </w:tcPr>
          <w:p w14:paraId="1A1DF8BF">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shd w:val="clear" w:color="auto" w:fill="auto"/>
            <w:vAlign w:val="center"/>
          </w:tcPr>
          <w:p w14:paraId="11C3FA77">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0.15</w:t>
            </w:r>
          </w:p>
        </w:tc>
      </w:tr>
      <w:tr w14:paraId="5358D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63B069EC">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19D7EA2F">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39</w:t>
            </w:r>
            <w:r>
              <w:rPr>
                <w:rFonts w:ascii="Times New Roman" w:hAnsi="Times New Roman" w:eastAsia="宋体" w:cs="Times New Roman"/>
                <w:sz w:val="21"/>
                <w:szCs w:val="21"/>
              </w:rPr>
              <w:t>）</w:t>
            </w:r>
          </w:p>
        </w:tc>
        <w:tc>
          <w:tcPr>
            <w:tcW w:w="1191" w:type="pct"/>
            <w:shd w:val="clear" w:color="auto" w:fill="auto"/>
            <w:vAlign w:val="center"/>
          </w:tcPr>
          <w:p w14:paraId="57BAAAF5">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东北丰</w:t>
            </w:r>
          </w:p>
        </w:tc>
        <w:tc>
          <w:tcPr>
            <w:tcW w:w="983" w:type="pct"/>
            <w:shd w:val="clear" w:color="auto" w:fill="auto"/>
            <w:vAlign w:val="center"/>
          </w:tcPr>
          <w:p w14:paraId="5441E3FA">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26-11-11</w:t>
            </w:r>
          </w:p>
        </w:tc>
        <w:tc>
          <w:tcPr>
            <w:tcW w:w="943" w:type="pct"/>
            <w:shd w:val="clear" w:color="auto" w:fill="auto"/>
            <w:vAlign w:val="center"/>
          </w:tcPr>
          <w:p w14:paraId="0B398BC2">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color w:val="FF0000"/>
                <w:kern w:val="2"/>
                <w:sz w:val="21"/>
                <w:szCs w:val="21"/>
                <w:lang w:val="en-US" w:eastAsia="zh-CN" w:bidi="ar-SA"/>
              </w:rPr>
              <w:t>原料</w:t>
            </w:r>
          </w:p>
        </w:tc>
        <w:tc>
          <w:tcPr>
            <w:tcW w:w="574" w:type="pct"/>
            <w:shd w:val="clear" w:color="auto" w:fill="auto"/>
            <w:vAlign w:val="center"/>
          </w:tcPr>
          <w:p w14:paraId="33E8CEFA">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color w:val="FF0000"/>
                <w:kern w:val="2"/>
                <w:sz w:val="21"/>
                <w:szCs w:val="21"/>
                <w:lang w:val="en-US" w:eastAsia="zh-CN" w:bidi="ar-SA"/>
              </w:rPr>
            </w:pPr>
            <w:r>
              <w:rPr>
                <w:rFonts w:hint="default" w:ascii="Times New Roman" w:hAnsi="Times New Roman" w:eastAsia="宋体" w:cs="Times New Roman"/>
                <w:i w:val="0"/>
                <w:iCs w:val="0"/>
                <w:color w:val="FF0000"/>
                <w:kern w:val="0"/>
                <w:sz w:val="21"/>
                <w:szCs w:val="21"/>
                <w:u w:val="none"/>
                <w:lang w:val="en-US" w:eastAsia="zh-CN" w:bidi="ar"/>
              </w:rPr>
              <w:t>0.15</w:t>
            </w:r>
          </w:p>
        </w:tc>
      </w:tr>
      <w:tr w14:paraId="165FD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2A8F024E">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5C3856EC">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40</w:t>
            </w:r>
            <w:r>
              <w:rPr>
                <w:rFonts w:ascii="Times New Roman" w:hAnsi="Times New Roman" w:eastAsia="宋体" w:cs="Times New Roman"/>
                <w:sz w:val="21"/>
                <w:szCs w:val="21"/>
              </w:rPr>
              <w:t>）</w:t>
            </w:r>
          </w:p>
        </w:tc>
        <w:tc>
          <w:tcPr>
            <w:tcW w:w="1191" w:type="pct"/>
            <w:shd w:val="clear" w:color="auto" w:fill="auto"/>
            <w:vAlign w:val="center"/>
          </w:tcPr>
          <w:p w14:paraId="3C7C7FCB">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黑龙江爱农</w:t>
            </w:r>
          </w:p>
        </w:tc>
        <w:tc>
          <w:tcPr>
            <w:tcW w:w="983" w:type="pct"/>
            <w:shd w:val="clear" w:color="auto" w:fill="auto"/>
            <w:vAlign w:val="center"/>
          </w:tcPr>
          <w:p w14:paraId="6623C40B">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25-11-11</w:t>
            </w:r>
          </w:p>
        </w:tc>
        <w:tc>
          <w:tcPr>
            <w:tcW w:w="943" w:type="pct"/>
            <w:shd w:val="clear" w:color="auto" w:fill="auto"/>
            <w:vAlign w:val="center"/>
          </w:tcPr>
          <w:p w14:paraId="024FB1D7">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shd w:val="clear" w:color="auto" w:fill="auto"/>
            <w:vAlign w:val="center"/>
          </w:tcPr>
          <w:p w14:paraId="3801AB10">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0.19</w:t>
            </w:r>
          </w:p>
        </w:tc>
      </w:tr>
      <w:tr w14:paraId="609C4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1290A02F">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27B01A6C">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4</w:t>
            </w:r>
            <w:r>
              <w:rPr>
                <w:rFonts w:ascii="Times New Roman" w:hAnsi="Times New Roman" w:eastAsia="宋体" w:cs="Times New Roman"/>
                <w:sz w:val="21"/>
                <w:szCs w:val="21"/>
              </w:rPr>
              <w:t>1）</w:t>
            </w:r>
          </w:p>
        </w:tc>
        <w:tc>
          <w:tcPr>
            <w:tcW w:w="1191" w:type="pct"/>
            <w:shd w:val="clear" w:color="auto" w:fill="auto"/>
            <w:vAlign w:val="center"/>
          </w:tcPr>
          <w:p w14:paraId="14328C26">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中嘉化肥</w:t>
            </w:r>
          </w:p>
        </w:tc>
        <w:tc>
          <w:tcPr>
            <w:tcW w:w="983" w:type="pct"/>
            <w:shd w:val="clear" w:color="auto" w:fill="auto"/>
            <w:vAlign w:val="center"/>
          </w:tcPr>
          <w:p w14:paraId="34639A03">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26-10-12</w:t>
            </w:r>
          </w:p>
        </w:tc>
        <w:tc>
          <w:tcPr>
            <w:tcW w:w="943" w:type="pct"/>
            <w:shd w:val="clear" w:color="auto" w:fill="auto"/>
            <w:vAlign w:val="center"/>
          </w:tcPr>
          <w:p w14:paraId="4BBE58C2">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shd w:val="clear" w:color="auto" w:fill="auto"/>
            <w:vAlign w:val="center"/>
          </w:tcPr>
          <w:p w14:paraId="365D9330">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0.13</w:t>
            </w:r>
          </w:p>
        </w:tc>
      </w:tr>
      <w:tr w14:paraId="15BE5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0C430AE4">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5FEFD2E8">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4</w:t>
            </w:r>
            <w:r>
              <w:rPr>
                <w:rFonts w:ascii="Times New Roman" w:hAnsi="Times New Roman" w:eastAsia="宋体" w:cs="Times New Roman"/>
                <w:sz w:val="21"/>
                <w:szCs w:val="21"/>
              </w:rPr>
              <w:t>2）</w:t>
            </w:r>
          </w:p>
        </w:tc>
        <w:tc>
          <w:tcPr>
            <w:tcW w:w="1191" w:type="pct"/>
            <w:shd w:val="clear" w:color="auto" w:fill="auto"/>
            <w:vAlign w:val="center"/>
          </w:tcPr>
          <w:p w14:paraId="7BFE776E">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中嘉化肥</w:t>
            </w:r>
          </w:p>
        </w:tc>
        <w:tc>
          <w:tcPr>
            <w:tcW w:w="983" w:type="pct"/>
            <w:shd w:val="clear" w:color="auto" w:fill="auto"/>
            <w:vAlign w:val="center"/>
          </w:tcPr>
          <w:p w14:paraId="05EC6106">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26-10-12</w:t>
            </w:r>
          </w:p>
        </w:tc>
        <w:tc>
          <w:tcPr>
            <w:tcW w:w="943" w:type="pct"/>
            <w:shd w:val="clear" w:color="auto" w:fill="auto"/>
            <w:vAlign w:val="center"/>
          </w:tcPr>
          <w:p w14:paraId="3AE510EF">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color w:val="FF0000"/>
                <w:kern w:val="2"/>
                <w:sz w:val="21"/>
                <w:szCs w:val="21"/>
                <w:lang w:val="en-US" w:eastAsia="zh-CN" w:bidi="ar-SA"/>
              </w:rPr>
              <w:t>原料</w:t>
            </w:r>
          </w:p>
        </w:tc>
        <w:tc>
          <w:tcPr>
            <w:tcW w:w="574" w:type="pct"/>
            <w:shd w:val="clear" w:color="auto" w:fill="auto"/>
            <w:vAlign w:val="center"/>
          </w:tcPr>
          <w:p w14:paraId="7F1A93F5">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color w:val="FF0000"/>
                <w:kern w:val="2"/>
                <w:sz w:val="21"/>
                <w:szCs w:val="21"/>
                <w:lang w:val="en-US" w:eastAsia="zh-CN" w:bidi="ar-SA"/>
              </w:rPr>
            </w:pPr>
            <w:r>
              <w:rPr>
                <w:rFonts w:hint="default" w:ascii="Times New Roman" w:hAnsi="Times New Roman" w:eastAsia="宋体" w:cs="Times New Roman"/>
                <w:i w:val="0"/>
                <w:iCs w:val="0"/>
                <w:color w:val="FF0000"/>
                <w:kern w:val="0"/>
                <w:sz w:val="21"/>
                <w:szCs w:val="21"/>
                <w:u w:val="none"/>
                <w:lang w:val="en-US" w:eastAsia="zh-CN" w:bidi="ar"/>
              </w:rPr>
              <w:t>0.13</w:t>
            </w:r>
          </w:p>
        </w:tc>
      </w:tr>
      <w:tr w14:paraId="37194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2BA36FD3">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2C61FA89">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4</w:t>
            </w:r>
            <w:r>
              <w:rPr>
                <w:rFonts w:ascii="Times New Roman" w:hAnsi="Times New Roman" w:eastAsia="宋体" w:cs="Times New Roman"/>
                <w:sz w:val="21"/>
                <w:szCs w:val="21"/>
              </w:rPr>
              <w:t>3）</w:t>
            </w:r>
          </w:p>
        </w:tc>
        <w:tc>
          <w:tcPr>
            <w:tcW w:w="1191" w:type="pct"/>
            <w:shd w:val="clear" w:color="auto" w:fill="auto"/>
            <w:vAlign w:val="center"/>
          </w:tcPr>
          <w:p w14:paraId="336908E2">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辽宁凯丰</w:t>
            </w:r>
          </w:p>
        </w:tc>
        <w:tc>
          <w:tcPr>
            <w:tcW w:w="983" w:type="pct"/>
            <w:shd w:val="clear" w:color="auto" w:fill="auto"/>
            <w:vAlign w:val="center"/>
          </w:tcPr>
          <w:p w14:paraId="3FBB5CB2">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CL25-10-11</w:t>
            </w:r>
          </w:p>
        </w:tc>
        <w:tc>
          <w:tcPr>
            <w:tcW w:w="943" w:type="pct"/>
            <w:shd w:val="clear" w:color="auto" w:fill="auto"/>
            <w:vAlign w:val="center"/>
          </w:tcPr>
          <w:p w14:paraId="419D5D13">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shd w:val="clear" w:color="auto" w:fill="auto"/>
            <w:vAlign w:val="center"/>
          </w:tcPr>
          <w:p w14:paraId="3DC9DEFC">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0.41</w:t>
            </w:r>
          </w:p>
        </w:tc>
      </w:tr>
      <w:tr w14:paraId="424A0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797A3E6E">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7B83485F">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4</w:t>
            </w:r>
            <w:r>
              <w:rPr>
                <w:rFonts w:ascii="Times New Roman" w:hAnsi="Times New Roman" w:eastAsia="宋体" w:cs="Times New Roman"/>
                <w:sz w:val="21"/>
                <w:szCs w:val="21"/>
              </w:rPr>
              <w:t>4）</w:t>
            </w:r>
          </w:p>
        </w:tc>
        <w:tc>
          <w:tcPr>
            <w:tcW w:w="1191" w:type="pct"/>
            <w:shd w:val="clear" w:color="auto" w:fill="auto"/>
            <w:vAlign w:val="center"/>
          </w:tcPr>
          <w:p w14:paraId="35D0070F">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辽宁凯丰</w:t>
            </w:r>
          </w:p>
        </w:tc>
        <w:tc>
          <w:tcPr>
            <w:tcW w:w="983" w:type="pct"/>
            <w:shd w:val="clear" w:color="auto" w:fill="auto"/>
            <w:vAlign w:val="center"/>
          </w:tcPr>
          <w:p w14:paraId="54BAC5E3">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CL25-10-12</w:t>
            </w:r>
          </w:p>
        </w:tc>
        <w:tc>
          <w:tcPr>
            <w:tcW w:w="943" w:type="pct"/>
            <w:shd w:val="clear" w:color="auto" w:fill="auto"/>
            <w:vAlign w:val="center"/>
          </w:tcPr>
          <w:p w14:paraId="1CA7EB52">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color w:val="FF0000"/>
                <w:kern w:val="2"/>
                <w:sz w:val="21"/>
                <w:szCs w:val="21"/>
                <w:lang w:val="en-US" w:eastAsia="zh-CN" w:bidi="ar-SA"/>
              </w:rPr>
              <w:t>原料</w:t>
            </w:r>
          </w:p>
        </w:tc>
        <w:tc>
          <w:tcPr>
            <w:tcW w:w="574" w:type="pct"/>
            <w:shd w:val="clear" w:color="auto" w:fill="auto"/>
            <w:vAlign w:val="center"/>
          </w:tcPr>
          <w:p w14:paraId="670C77F5">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color w:val="FF0000"/>
                <w:kern w:val="2"/>
                <w:sz w:val="21"/>
                <w:szCs w:val="21"/>
                <w:lang w:val="en-US" w:eastAsia="zh-CN" w:bidi="ar-SA"/>
              </w:rPr>
            </w:pPr>
            <w:r>
              <w:rPr>
                <w:rFonts w:hint="default" w:ascii="Times New Roman" w:hAnsi="Times New Roman" w:eastAsia="宋体" w:cs="Times New Roman"/>
                <w:i w:val="0"/>
                <w:iCs w:val="0"/>
                <w:color w:val="FF0000"/>
                <w:kern w:val="0"/>
                <w:sz w:val="21"/>
                <w:szCs w:val="21"/>
                <w:u w:val="none"/>
                <w:lang w:val="en-US" w:eastAsia="zh-CN" w:bidi="ar"/>
              </w:rPr>
              <w:t>0.42</w:t>
            </w:r>
          </w:p>
        </w:tc>
      </w:tr>
      <w:tr w14:paraId="46017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349DF161">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20760131">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4</w:t>
            </w:r>
            <w:r>
              <w:rPr>
                <w:rFonts w:ascii="Times New Roman" w:hAnsi="Times New Roman" w:eastAsia="宋体" w:cs="Times New Roman"/>
                <w:sz w:val="21"/>
                <w:szCs w:val="21"/>
              </w:rPr>
              <w:t>5）</w:t>
            </w:r>
          </w:p>
        </w:tc>
        <w:tc>
          <w:tcPr>
            <w:tcW w:w="1191" w:type="pct"/>
            <w:shd w:val="clear" w:color="auto" w:fill="auto"/>
            <w:vAlign w:val="center"/>
          </w:tcPr>
          <w:p w14:paraId="689F27F0">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云南农家乐</w:t>
            </w:r>
          </w:p>
        </w:tc>
        <w:tc>
          <w:tcPr>
            <w:tcW w:w="983" w:type="pct"/>
            <w:shd w:val="clear" w:color="auto" w:fill="auto"/>
            <w:vAlign w:val="center"/>
          </w:tcPr>
          <w:p w14:paraId="0DDB41BD">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25-5-5</w:t>
            </w:r>
          </w:p>
        </w:tc>
        <w:tc>
          <w:tcPr>
            <w:tcW w:w="943" w:type="pct"/>
            <w:shd w:val="clear" w:color="auto" w:fill="auto"/>
            <w:vAlign w:val="center"/>
          </w:tcPr>
          <w:p w14:paraId="27955AB2">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shd w:val="clear" w:color="auto" w:fill="auto"/>
            <w:vAlign w:val="center"/>
          </w:tcPr>
          <w:p w14:paraId="422FAA66">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0.21</w:t>
            </w:r>
          </w:p>
        </w:tc>
      </w:tr>
      <w:tr w14:paraId="00565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116D796B">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105E7F37">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4</w:t>
            </w:r>
            <w:r>
              <w:rPr>
                <w:rFonts w:ascii="Times New Roman" w:hAnsi="Times New Roman" w:eastAsia="宋体" w:cs="Times New Roman"/>
                <w:sz w:val="21"/>
                <w:szCs w:val="21"/>
              </w:rPr>
              <w:t>6）</w:t>
            </w:r>
          </w:p>
        </w:tc>
        <w:tc>
          <w:tcPr>
            <w:tcW w:w="1191" w:type="pct"/>
            <w:shd w:val="clear" w:color="auto" w:fill="auto"/>
            <w:vAlign w:val="center"/>
          </w:tcPr>
          <w:p w14:paraId="12958B40">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江南环保</w:t>
            </w:r>
          </w:p>
        </w:tc>
        <w:tc>
          <w:tcPr>
            <w:tcW w:w="983" w:type="pct"/>
            <w:shd w:val="clear" w:color="auto" w:fill="auto"/>
            <w:vAlign w:val="center"/>
          </w:tcPr>
          <w:p w14:paraId="1CD6F29F">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15-5-5</w:t>
            </w:r>
          </w:p>
        </w:tc>
        <w:tc>
          <w:tcPr>
            <w:tcW w:w="943" w:type="pct"/>
            <w:shd w:val="clear" w:color="auto" w:fill="auto"/>
            <w:vAlign w:val="center"/>
          </w:tcPr>
          <w:p w14:paraId="1D49ECDE">
            <w:pPr>
              <w:keepNext/>
              <w:keepLines w:val="0"/>
              <w:pageBreakBefore w:val="0"/>
              <w:widowControl/>
              <w:suppressLineNumbers w:val="0"/>
              <w:wordWrap/>
              <w:overflowPunct/>
              <w:topLinePunct w:val="0"/>
              <w:bidi w:val="0"/>
              <w:snapToGrid w:val="0"/>
              <w:spacing w:line="360" w:lineRule="auto"/>
              <w:ind w:left="0" w:leftChars="0" w:right="0" w:rightChars="0" w:firstLine="0" w:firstLineChars="0"/>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shd w:val="clear" w:color="auto" w:fill="auto"/>
            <w:vAlign w:val="center"/>
          </w:tcPr>
          <w:p w14:paraId="7167FC5A">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0.07</w:t>
            </w:r>
          </w:p>
        </w:tc>
      </w:tr>
      <w:tr w14:paraId="5644A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5507B1B6">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7E8FC9C6">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47</w:t>
            </w:r>
            <w:r>
              <w:rPr>
                <w:rFonts w:ascii="Times New Roman" w:hAnsi="Times New Roman" w:eastAsia="宋体" w:cs="Times New Roman"/>
                <w:sz w:val="21"/>
                <w:szCs w:val="21"/>
              </w:rPr>
              <w:t>）</w:t>
            </w:r>
          </w:p>
        </w:tc>
        <w:tc>
          <w:tcPr>
            <w:tcW w:w="1191" w:type="pct"/>
            <w:shd w:val="clear" w:color="auto" w:fill="auto"/>
            <w:vAlign w:val="bottom"/>
          </w:tcPr>
          <w:p w14:paraId="52814082">
            <w:pPr>
              <w:keepNext w:val="0"/>
              <w:keepLines w:val="0"/>
              <w:pageBreakBefore w:val="0"/>
              <w:widowControl/>
              <w:suppressLineNumbers w:val="0"/>
              <w:wordWrap/>
              <w:overflowPunct/>
              <w:topLinePunct w:val="0"/>
              <w:bidi w:val="0"/>
              <w:spacing w:line="360" w:lineRule="auto"/>
              <w:jc w:val="center"/>
              <w:textAlignment w:val="bottom"/>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兰花尿素</w:t>
            </w:r>
          </w:p>
        </w:tc>
        <w:tc>
          <w:tcPr>
            <w:tcW w:w="983" w:type="pct"/>
          </w:tcPr>
          <w:p w14:paraId="746C7E2A">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943" w:type="pct"/>
          </w:tcPr>
          <w:p w14:paraId="0161AA01">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vAlign w:val="center"/>
          </w:tcPr>
          <w:p w14:paraId="4B0AEA52">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0.30</w:t>
            </w:r>
          </w:p>
        </w:tc>
      </w:tr>
      <w:tr w14:paraId="46991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pct"/>
            <w:vMerge w:val="continue"/>
          </w:tcPr>
          <w:p w14:paraId="41B3CCD8">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581" w:type="pct"/>
            <w:shd w:val="clear" w:color="auto" w:fill="auto"/>
            <w:vAlign w:val="center"/>
          </w:tcPr>
          <w:p w14:paraId="43E8FFEA">
            <w:pPr>
              <w:keepNext/>
              <w:keepLines w:val="0"/>
              <w:pageBreakBefore w:val="0"/>
              <w:wordWrap/>
              <w:overflowPunct/>
              <w:topLinePunct w:val="0"/>
              <w:bidi w:val="0"/>
              <w:snapToGrid w:val="0"/>
              <w:spacing w:line="36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48</w:t>
            </w:r>
            <w:r>
              <w:rPr>
                <w:rFonts w:ascii="Times New Roman" w:hAnsi="Times New Roman" w:eastAsia="宋体" w:cs="Times New Roman"/>
                <w:sz w:val="21"/>
                <w:szCs w:val="21"/>
              </w:rPr>
              <w:t>）</w:t>
            </w:r>
          </w:p>
        </w:tc>
        <w:tc>
          <w:tcPr>
            <w:tcW w:w="1191" w:type="pct"/>
            <w:shd w:val="clear" w:color="auto" w:fill="auto"/>
            <w:vAlign w:val="center"/>
          </w:tcPr>
          <w:p w14:paraId="7F2A2A80">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兰花尿素</w:t>
            </w:r>
          </w:p>
        </w:tc>
        <w:tc>
          <w:tcPr>
            <w:tcW w:w="983" w:type="pct"/>
          </w:tcPr>
          <w:p w14:paraId="118203A1">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p>
        </w:tc>
        <w:tc>
          <w:tcPr>
            <w:tcW w:w="943" w:type="pct"/>
          </w:tcPr>
          <w:p w14:paraId="2A3123B6">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成品</w:t>
            </w:r>
          </w:p>
        </w:tc>
        <w:tc>
          <w:tcPr>
            <w:tcW w:w="574" w:type="pct"/>
            <w:vAlign w:val="center"/>
          </w:tcPr>
          <w:p w14:paraId="3090DE7E">
            <w:pPr>
              <w:keepNext w:val="0"/>
              <w:keepLines w:val="0"/>
              <w:pageBreakBefore w:val="0"/>
              <w:widowControl/>
              <w:suppressLineNumbers w:val="0"/>
              <w:wordWrap/>
              <w:overflowPunct/>
              <w:topLinePunct w:val="0"/>
              <w:bidi w:val="0"/>
              <w:spacing w:line="360" w:lineRule="auto"/>
              <w:jc w:val="center"/>
              <w:textAlignment w:val="center"/>
              <w:rPr>
                <w:rFonts w:hint="eastAsia"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0.19</w:t>
            </w:r>
          </w:p>
        </w:tc>
      </w:tr>
    </w:tbl>
    <w:p w14:paraId="5236C81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4"/>
          <w:szCs w:val="24"/>
          <w:lang w:val="en-US" w:eastAsia="zh-CN" w:bidi="ar-SA"/>
        </w:rPr>
      </w:pPr>
    </w:p>
    <w:p w14:paraId="3633D239">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7.3 小结</w:t>
      </w:r>
    </w:p>
    <w:p w14:paraId="1406EA0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综合分析以上NBPT、DMPP、DCD、CP这4种主要抑制剂材料的含量测定结果，可得出稳定性肥料中DCD含量的下限宜设置为0.05%，造粒方式以及原料之间的化学反应对DCD赋存形态无重大影响，DCD是一种稳定的抑制剂材料，且GB/T 46742这一测定方法稳定。然而，造粒方式以及原料之间的化学反应对其它3种抑制剂材料在肥料中的存在形态有重大影响，尤其是对NBPT影响关键。由于目前只收集了45个稳定性肥料进行NBPT、DMPP、CP含量的测定，且检测结果变化范围较大，无法为该3个指标的下限值设置提供参考依据。</w:t>
      </w:r>
    </w:p>
    <w:p w14:paraId="5969D8B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945A5"/>
          <w:kern w:val="2"/>
          <w:sz w:val="24"/>
          <w:szCs w:val="24"/>
          <w:lang w:val="en-US" w:eastAsia="zh-CN" w:bidi="ar-SA"/>
        </w:rPr>
      </w:pPr>
      <w:r>
        <w:rPr>
          <w:rFonts w:hint="eastAsia" w:ascii="Times New Roman" w:hAnsi="Times New Roman" w:eastAsia="宋体" w:cs="Times New Roman"/>
          <w:color w:val="0945A5"/>
          <w:kern w:val="2"/>
          <w:sz w:val="24"/>
          <w:szCs w:val="24"/>
          <w:lang w:val="en-US" w:eastAsia="zh-CN" w:bidi="ar-SA"/>
        </w:rPr>
        <w:t>目前，中国农业农村部正式登记的脲酶抑制剂产品有N - 正丁基硫代磷酰三胺 (NBPT)和N - 正丙基硫代磷酰三胺 (NPPT) 的复配脲酶抑制剂，登记证号：农肥（2022）准字 18268 号和农肥（2023）准字 19237 号，以及NBPT，登记证号：农肥（2025）准字21053号。中国农业农村部登记的硝化抑制剂产品有3，4-二甲基吡唑磷酸盐（DMPP），登记证号：农肥（2018）准字 10205。登记的硝化抑制剂2-氯-6-三氯甲基吡啶（CP），登记证号：农肥（2018）准字 9531。农业农村部公布的行业标准NYT3505-2019 《肥料增效剂 脲酶抑制剂及使用规程》和NY-T3504-2019《肥料增效剂 硝化抑制剂及使用规程》中只规定了NBPT/NPPT、NBPT、DMPP和CP的最高添加量。</w:t>
      </w:r>
    </w:p>
    <w:p w14:paraId="3A4800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945A5"/>
          <w:kern w:val="2"/>
          <w:sz w:val="24"/>
          <w:szCs w:val="24"/>
          <w:lang w:val="en-US" w:eastAsia="zh-CN" w:bidi="ar-SA"/>
        </w:rPr>
      </w:pPr>
      <w:r>
        <w:rPr>
          <w:rFonts w:hint="eastAsia" w:ascii="Times New Roman" w:hAnsi="Times New Roman" w:eastAsia="宋体" w:cs="Times New Roman"/>
          <w:color w:val="0945A5"/>
          <w:kern w:val="2"/>
          <w:sz w:val="24"/>
          <w:szCs w:val="24"/>
          <w:lang w:val="en-US" w:eastAsia="zh-CN" w:bidi="ar-SA"/>
        </w:rPr>
        <w:t>目前，生产中推荐的NBPT/NPPT复配抑制剂和NBPT的施用量为尿素氮质量的 0.10%～0.20%，折算尿素添加量为400～800 g /吨尿素，DMPP生产中推荐施用量为铵态氮和酰胺态氮总氮的0.5%～1.0%。同时，根据马丽（2024）的研究结果，高塔和滚筒造粒条件下，DMPP和NBPT的最大损失率约在30%左右，因此我们建议稳定性肥料样品中NBPT和DMPP含量的下限按推荐添加量下限的70%计算，NBPT和DMPP测定含量下限分别为总氮的0.07%～0.14%和0.35%～0.7%。按总氮平均占复合肥总量1/4估算，NBPT和DMPP含量检出值的下限分别为0.0175%～0.035%和0.0875%～0.175%。因此，最终我们推荐稳定性肥料中NBPT和DMPP含量的下限值设为0.02%和0.08%。此外，添加2-氯-6-三氯甲基吡啶（CP）的稳定性肥料产品在市场所占份额较小，且无充足的数据支撑其推荐添加量设置，因此建议从稳定性肥料含量技术指标中去除该抑制剂。</w:t>
      </w:r>
    </w:p>
    <w:p w14:paraId="1EF51FF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1"/>
          <w:szCs w:val="21"/>
          <w:lang w:val="en-US" w:eastAsia="zh-CN"/>
        </w:rPr>
      </w:pPr>
    </w:p>
    <w:p w14:paraId="6FECBE7C">
      <w:pPr>
        <w:pStyle w:val="15"/>
        <w:numPr>
          <w:ilvl w:val="0"/>
          <w:numId w:val="10"/>
        </w:numPr>
        <w:ind w:firstLineChars="0"/>
        <w:rPr>
          <w:rFonts w:ascii="Times New Roman" w:hAnsi="Times New Roman" w:eastAsia="宋体" w:cs="Times New Roman"/>
          <w:sz w:val="24"/>
          <w:szCs w:val="24"/>
          <w:lang w:val="zh-CN"/>
        </w:rPr>
      </w:pPr>
      <w:r>
        <w:rPr>
          <w:rFonts w:hint="eastAsia" w:ascii="Times New Roman" w:hAnsi="Times New Roman" w:eastAsia="宋体" w:cs="Times New Roman"/>
          <w:sz w:val="24"/>
          <w:szCs w:val="24"/>
          <w:lang w:val="zh-CN"/>
        </w:rPr>
        <w:t>马丽</w:t>
      </w:r>
      <w:r>
        <w:rPr>
          <w:rFonts w:hint="eastAsia" w:ascii="Times New Roman" w:hAnsi="Times New Roman" w:eastAsia="宋体" w:cs="Times New Roman"/>
          <w:sz w:val="24"/>
          <w:szCs w:val="24"/>
          <w:lang w:eastAsia="zh-CN"/>
        </w:rPr>
        <w:t>，</w:t>
      </w:r>
      <w:r>
        <w:rPr>
          <w:rFonts w:ascii="Times New Roman" w:hAnsi="Times New Roman" w:eastAsia="宋体" w:cs="Times New Roman"/>
          <w:sz w:val="24"/>
          <w:szCs w:val="24"/>
        </w:rPr>
        <w:t>20</w:t>
      </w:r>
      <w:r>
        <w:rPr>
          <w:rFonts w:hint="eastAsia" w:ascii="Times New Roman" w:hAnsi="Times New Roman" w:eastAsia="宋体" w:cs="Times New Roman"/>
          <w:sz w:val="24"/>
          <w:szCs w:val="24"/>
          <w:lang w:val="en-US" w:eastAsia="zh-CN"/>
        </w:rPr>
        <w:t>24</w:t>
      </w:r>
      <w:r>
        <w:rPr>
          <w:rFonts w:ascii="Times New Roman" w:hAnsi="Times New Roman" w:eastAsia="宋体" w:cs="Times New Roman"/>
          <w:sz w:val="24"/>
          <w:szCs w:val="24"/>
        </w:rPr>
        <w:t>.</w:t>
      </w:r>
      <w:r>
        <w:rPr>
          <w:rFonts w:ascii="Times New Roman" w:hAnsi="Times New Roman" w:eastAsia="宋体" w:cs="Times New Roman"/>
          <w:sz w:val="24"/>
          <w:szCs w:val="24"/>
          <w:lang w:val="zh-CN"/>
        </w:rPr>
        <w:t xml:space="preserve"> </w:t>
      </w:r>
      <w:r>
        <w:rPr>
          <w:rFonts w:hint="eastAsia" w:ascii="Times New Roman" w:hAnsi="Times New Roman" w:eastAsia="宋体" w:cs="Times New Roman"/>
          <w:sz w:val="24"/>
          <w:szCs w:val="24"/>
          <w:lang w:val="zh-CN"/>
        </w:rPr>
        <w:t>稳定性肥料不同生产工艺对氮肥增效剂稳定性的影响</w:t>
      </w:r>
      <w:r>
        <w:rPr>
          <w:rFonts w:ascii="Times New Roman" w:hAnsi="Times New Roman" w:eastAsia="宋体" w:cs="Times New Roman"/>
          <w:sz w:val="24"/>
          <w:szCs w:val="24"/>
          <w:lang w:val="zh-CN"/>
        </w:rPr>
        <w:t xml:space="preserve">［Ｄ］. </w:t>
      </w:r>
      <w:r>
        <w:rPr>
          <w:rFonts w:hint="eastAsia" w:ascii="Times New Roman" w:hAnsi="Times New Roman" w:eastAsia="宋体" w:cs="Times New Roman"/>
          <w:sz w:val="24"/>
          <w:szCs w:val="24"/>
          <w:lang w:val="en-US" w:eastAsia="zh-CN"/>
        </w:rPr>
        <w:t>重庆</w:t>
      </w:r>
      <w:r>
        <w:rPr>
          <w:rFonts w:ascii="Times New Roman" w:hAnsi="Times New Roman" w:eastAsia="宋体" w:cs="Times New Roman"/>
          <w:sz w:val="24"/>
          <w:szCs w:val="24"/>
          <w:lang w:val="zh-CN"/>
        </w:rPr>
        <w:t xml:space="preserve">. </w:t>
      </w:r>
      <w:r>
        <w:rPr>
          <w:rFonts w:hint="eastAsia" w:ascii="Times New Roman" w:hAnsi="Times New Roman" w:eastAsia="宋体" w:cs="Times New Roman"/>
          <w:sz w:val="24"/>
          <w:szCs w:val="24"/>
          <w:lang w:val="en-US" w:eastAsia="zh-CN"/>
        </w:rPr>
        <w:t>西南大学</w:t>
      </w:r>
    </w:p>
    <w:p w14:paraId="22F2630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FF0000"/>
          <w:kern w:val="2"/>
          <w:sz w:val="24"/>
          <w:szCs w:val="24"/>
          <w:lang w:val="en-US" w:eastAsia="zh-CN" w:bidi="ar-SA"/>
        </w:rPr>
      </w:pPr>
    </w:p>
    <w:p w14:paraId="3390FD84">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0" w:firstLineChars="0"/>
        <w:textAlignment w:val="auto"/>
        <w:rPr>
          <w:rFonts w:hint="default" w:ascii="Times New Roman" w:hAnsi="Times New Roman" w:eastAsia="宋体" w:cs="Times New Roman"/>
          <w:b/>
          <w:bCs w:val="0"/>
          <w:color w:val="1552D1"/>
          <w:sz w:val="24"/>
          <w:szCs w:val="24"/>
          <w:lang w:val="en-US" w:eastAsia="zh-CN"/>
        </w:rPr>
      </w:pPr>
      <w:r>
        <w:rPr>
          <w:rFonts w:hint="eastAsia" w:ascii="Times New Roman" w:hAnsi="Times New Roman" w:eastAsia="宋体" w:cs="Times New Roman"/>
          <w:b/>
          <w:bCs w:val="0"/>
          <w:color w:val="1552D1"/>
          <w:sz w:val="24"/>
          <w:szCs w:val="24"/>
          <w:lang w:val="en-US" w:eastAsia="zh-CN"/>
        </w:rPr>
        <w:t>8、技术指标体系的选择</w:t>
      </w:r>
    </w:p>
    <w:p w14:paraId="126E58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i w:val="0"/>
          <w:iCs w:val="0"/>
          <w:caps w:val="0"/>
          <w:color w:val="auto"/>
          <w:spacing w:val="0"/>
          <w:sz w:val="24"/>
          <w:szCs w:val="24"/>
          <w:lang w:val="en-US" w:eastAsia="zh-CN"/>
        </w:rPr>
      </w:pPr>
      <w:r>
        <w:rPr>
          <w:rFonts w:hint="default" w:ascii="Times New Roman" w:hAnsi="Times New Roman" w:eastAsia="宋体" w:cs="Times New Roman"/>
          <w:color w:val="auto"/>
          <w:sz w:val="24"/>
          <w:szCs w:val="24"/>
        </w:rPr>
        <w:t>现行 GB/T35113-2017 只强制</w:t>
      </w:r>
      <w:r>
        <w:rPr>
          <w:rStyle w:val="5"/>
          <w:rFonts w:hint="default" w:ascii="Times New Roman" w:hAnsi="Times New Roman" w:eastAsia="宋体" w:cs="Times New Roman"/>
          <w:color w:val="auto"/>
          <w:sz w:val="24"/>
          <w:szCs w:val="24"/>
        </w:rPr>
        <w:t>功能指标</w:t>
      </w:r>
      <w:r>
        <w:rPr>
          <w:rStyle w:val="5"/>
          <w:rFonts w:hint="eastAsia" w:ascii="Times New Roman" w:hAnsi="Times New Roman" w:eastAsia="宋体" w:cs="Times New Roman"/>
          <w:color w:val="auto"/>
          <w:sz w:val="24"/>
          <w:szCs w:val="24"/>
          <w:lang w:eastAsia="zh-CN"/>
        </w:rPr>
        <w:t>（</w:t>
      </w:r>
      <w:r>
        <w:rPr>
          <w:rFonts w:hint="default" w:ascii="Times New Roman" w:hAnsi="Times New Roman" w:eastAsia="Segoe UI Emoji" w:cs="Times New Roman"/>
          <w:i w:val="0"/>
          <w:iCs w:val="0"/>
          <w:caps w:val="0"/>
          <w:color w:val="auto"/>
          <w:spacing w:val="0"/>
          <w:sz w:val="24"/>
          <w:szCs w:val="24"/>
        </w:rPr>
        <w:t>尿素残留差异率、硝化抑制差异率</w:t>
      </w:r>
      <w:r>
        <w:rPr>
          <w:rStyle w:val="5"/>
          <w:rFonts w:hint="eastAsia" w:ascii="Times New Roman" w:hAnsi="Times New Roman" w:eastAsia="宋体" w:cs="Times New Roman"/>
          <w:color w:val="auto"/>
          <w:sz w:val="24"/>
          <w:szCs w:val="24"/>
          <w:lang w:eastAsia="zh-CN"/>
        </w:rPr>
        <w:t>）</w:t>
      </w:r>
      <w:r>
        <w:rPr>
          <w:rStyle w:val="5"/>
          <w:rFonts w:hint="default" w:ascii="Times New Roman" w:hAnsi="Times New Roman" w:eastAsia="宋体" w:cs="Times New Roman"/>
          <w:color w:val="auto"/>
          <w:sz w:val="24"/>
          <w:szCs w:val="24"/>
          <w:lang w:eastAsia="zh-CN"/>
        </w:rPr>
        <w:t>，</w:t>
      </w:r>
      <w:r>
        <w:rPr>
          <w:rStyle w:val="5"/>
          <w:rFonts w:hint="default" w:ascii="Times New Roman" w:hAnsi="Times New Roman" w:eastAsia="宋体" w:cs="Times New Roman"/>
          <w:color w:val="auto"/>
          <w:sz w:val="24"/>
          <w:szCs w:val="24"/>
          <w:lang w:val="en-US" w:eastAsia="zh-CN"/>
        </w:rPr>
        <w:t>因为</w:t>
      </w:r>
      <w:r>
        <w:rPr>
          <w:rFonts w:hint="default" w:ascii="Times New Roman" w:hAnsi="Times New Roman" w:eastAsia="宋体" w:cs="Times New Roman"/>
          <w:i w:val="0"/>
          <w:iCs w:val="0"/>
          <w:caps w:val="0"/>
          <w:color w:val="auto"/>
          <w:spacing w:val="0"/>
          <w:sz w:val="24"/>
          <w:szCs w:val="24"/>
          <w:lang w:val="en-US" w:eastAsia="zh-CN"/>
        </w:rPr>
        <w:t>功能指标即肥效结果指标，直接反映稳定性肥料产品实际稳氮效果，是产品合格的最终落脚点，能有效规避 “有效但含量不够、添加量够但失效”的问题。因为抑制剂会受原料纯度、生产高温、与肥料原料之间的化学反应、储存条件等因素的影响而降解，导致抑制效率降低；另外，在添加足量 NBPT/DMPP情况下，加工或存放会导致抑制剂赋存形态改变，但抑制功能仍在，只用含量管控无法保证田间效果，最终必须用抑制率验证实际功能。</w:t>
      </w:r>
    </w:p>
    <w:p w14:paraId="6C5EF38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i w:val="0"/>
          <w:iCs w:val="0"/>
          <w:caps w:val="0"/>
          <w:color w:val="auto"/>
          <w:spacing w:val="0"/>
          <w:sz w:val="24"/>
          <w:szCs w:val="24"/>
          <w:lang w:val="en-US" w:eastAsia="zh-CN"/>
        </w:rPr>
      </w:pPr>
      <w:r>
        <w:rPr>
          <w:rFonts w:hint="default" w:ascii="Times New Roman" w:hAnsi="Times New Roman" w:eastAsia="宋体" w:cs="Times New Roman"/>
          <w:i w:val="0"/>
          <w:iCs w:val="0"/>
          <w:caps w:val="0"/>
          <w:color w:val="auto"/>
          <w:spacing w:val="0"/>
          <w:sz w:val="24"/>
          <w:szCs w:val="24"/>
          <w:lang w:val="en-US" w:eastAsia="zh-CN"/>
        </w:rPr>
        <w:t>然而只设置功能指标存在</w:t>
      </w:r>
      <w:r>
        <w:rPr>
          <w:rFonts w:hint="default" w:ascii="Times New Roman" w:hAnsi="Times New Roman" w:eastAsia="宋体" w:cs="Times New Roman"/>
          <w:color w:val="auto"/>
          <w:sz w:val="24"/>
          <w:szCs w:val="24"/>
        </w:rPr>
        <w:t>“靠助剂凑抑制率、极低添加冒充稳定性肥”</w:t>
      </w:r>
      <w:r>
        <w:rPr>
          <w:rFonts w:hint="default" w:ascii="Times New Roman" w:hAnsi="Times New Roman" w:eastAsia="宋体" w:cs="Times New Roman"/>
          <w:color w:val="auto"/>
          <w:sz w:val="24"/>
          <w:szCs w:val="24"/>
          <w:lang w:val="en-US" w:eastAsia="zh-CN"/>
        </w:rPr>
        <w:t>的</w:t>
      </w:r>
      <w:r>
        <w:rPr>
          <w:rFonts w:hint="default" w:ascii="Times New Roman" w:hAnsi="Times New Roman" w:eastAsia="宋体" w:cs="Times New Roman"/>
          <w:color w:val="auto"/>
          <w:sz w:val="24"/>
          <w:szCs w:val="24"/>
        </w:rPr>
        <w:t xml:space="preserve"> 行业乱象</w:t>
      </w:r>
      <w:r>
        <w:rPr>
          <w:rFonts w:hint="default" w:ascii="Times New Roman" w:hAnsi="Times New Roman" w:eastAsia="宋体" w:cs="Times New Roman"/>
          <w:i w:val="0"/>
          <w:iCs w:val="0"/>
          <w:caps w:val="0"/>
          <w:color w:val="auto"/>
          <w:spacing w:val="0"/>
          <w:sz w:val="24"/>
          <w:szCs w:val="24"/>
          <w:lang w:val="en-US" w:eastAsia="zh-CN"/>
        </w:rPr>
        <w:t>，因为有部分企业依靠助剂、有机酸、腐植酸等材料临时小幅提升抑制率，抑制剂添加量趋近于0 、功能指标却达标，短期实验室培养合格，长期</w:t>
      </w:r>
      <w:bookmarkStart w:id="28" w:name="_GoBack"/>
      <w:r>
        <w:rPr>
          <w:rFonts w:hint="default" w:ascii="Times New Roman" w:hAnsi="Times New Roman" w:eastAsia="宋体" w:cs="Times New Roman"/>
          <w:i w:val="0"/>
          <w:iCs w:val="0"/>
          <w:caps w:val="0"/>
          <w:color w:val="auto"/>
          <w:spacing w:val="0"/>
          <w:sz w:val="24"/>
          <w:szCs w:val="24"/>
          <w:lang w:val="en-US" w:eastAsia="zh-CN"/>
        </w:rPr>
        <w:t>仓储</w:t>
      </w:r>
      <w:bookmarkEnd w:id="28"/>
      <w:r>
        <w:rPr>
          <w:rFonts w:hint="default" w:ascii="Times New Roman" w:hAnsi="Times New Roman" w:eastAsia="宋体" w:cs="Times New Roman"/>
          <w:i w:val="0"/>
          <w:iCs w:val="0"/>
          <w:caps w:val="0"/>
          <w:color w:val="auto"/>
          <w:spacing w:val="0"/>
          <w:sz w:val="24"/>
          <w:szCs w:val="24"/>
          <w:lang w:val="en-US" w:eastAsia="zh-CN"/>
        </w:rPr>
        <w:t>、大田施用快速失效，属于典型伪稳定性肥料。因此，限定最低添加量，可从原料投入上堵死造假路径。</w:t>
      </w:r>
    </w:p>
    <w:p w14:paraId="5373CCA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i w:val="0"/>
          <w:iCs w:val="0"/>
          <w:caps w:val="0"/>
          <w:color w:val="auto"/>
          <w:spacing w:val="0"/>
          <w:sz w:val="24"/>
          <w:szCs w:val="24"/>
          <w:lang w:val="en-US" w:eastAsia="zh-CN"/>
        </w:rPr>
      </w:pPr>
      <w:r>
        <w:rPr>
          <w:rFonts w:hint="default" w:ascii="Times New Roman" w:hAnsi="Times New Roman" w:eastAsia="宋体" w:cs="Times New Roman"/>
          <w:color w:val="auto"/>
          <w:sz w:val="24"/>
          <w:szCs w:val="24"/>
          <w:lang w:val="en-US" w:eastAsia="zh-CN"/>
        </w:rPr>
        <w:t>因此，</w:t>
      </w:r>
      <w:r>
        <w:rPr>
          <w:rFonts w:hint="default" w:ascii="Times New Roman" w:hAnsi="Times New Roman" w:eastAsia="宋体" w:cs="Times New Roman"/>
          <w:color w:val="auto"/>
          <w:sz w:val="24"/>
          <w:szCs w:val="24"/>
        </w:rPr>
        <w:t>本轮国标修订</w:t>
      </w:r>
      <w:r>
        <w:rPr>
          <w:rFonts w:hint="default" w:ascii="Times New Roman" w:hAnsi="Times New Roman" w:eastAsia="宋体" w:cs="Times New Roman"/>
          <w:color w:val="auto"/>
          <w:kern w:val="2"/>
          <w:sz w:val="24"/>
          <w:szCs w:val="24"/>
          <w:lang w:val="en-US" w:eastAsia="zh-CN" w:bidi="ar-SA"/>
        </w:rPr>
        <w:t>中设置</w:t>
      </w:r>
      <w:r>
        <w:rPr>
          <w:rFonts w:hint="default" w:ascii="Times New Roman" w:hAnsi="Times New Roman" w:eastAsia="Segoe UI Emoji" w:cs="Times New Roman"/>
          <w:i w:val="0"/>
          <w:iCs w:val="0"/>
          <w:caps w:val="0"/>
          <w:color w:val="auto"/>
          <w:spacing w:val="0"/>
          <w:sz w:val="24"/>
          <w:szCs w:val="24"/>
        </w:rPr>
        <w:t>抑制剂功能指标（尿素残留差异率、硝化</w:t>
      </w:r>
      <w:r>
        <w:rPr>
          <w:rFonts w:hint="default" w:ascii="Times New Roman" w:hAnsi="Times New Roman" w:eastAsia="宋体" w:cs="Times New Roman"/>
          <w:i w:val="0"/>
          <w:iCs w:val="0"/>
          <w:caps w:val="0"/>
          <w:color w:val="auto"/>
          <w:spacing w:val="0"/>
          <w:sz w:val="24"/>
          <w:szCs w:val="24"/>
          <w:lang w:val="en-US" w:eastAsia="zh-CN"/>
        </w:rPr>
        <w:t>潜势</w:t>
      </w:r>
      <w:r>
        <w:rPr>
          <w:rFonts w:hint="default" w:ascii="Times New Roman" w:hAnsi="Times New Roman" w:eastAsia="Segoe UI Emoji" w:cs="Times New Roman"/>
          <w:i w:val="0"/>
          <w:iCs w:val="0"/>
          <w:caps w:val="0"/>
          <w:color w:val="auto"/>
          <w:spacing w:val="0"/>
          <w:sz w:val="24"/>
          <w:szCs w:val="24"/>
        </w:rPr>
        <w:t>差异率）和含量指标（NBPT</w:t>
      </w:r>
      <w:r>
        <w:rPr>
          <w:rFonts w:hint="default" w:ascii="Times New Roman" w:hAnsi="Times New Roman" w:eastAsia="宋体" w:cs="Times New Roman"/>
          <w:i w:val="0"/>
          <w:iCs w:val="0"/>
          <w:caps w:val="0"/>
          <w:color w:val="auto"/>
          <w:spacing w:val="0"/>
          <w:sz w:val="24"/>
          <w:szCs w:val="24"/>
          <w:lang w:eastAsia="zh-CN"/>
        </w:rPr>
        <w:t>、</w:t>
      </w:r>
      <w:r>
        <w:rPr>
          <w:rFonts w:hint="default" w:ascii="Times New Roman" w:hAnsi="Times New Roman" w:eastAsia="Segoe UI Emoji" w:cs="Times New Roman"/>
          <w:i w:val="0"/>
          <w:iCs w:val="0"/>
          <w:caps w:val="0"/>
          <w:color w:val="auto"/>
          <w:spacing w:val="0"/>
          <w:sz w:val="24"/>
          <w:szCs w:val="24"/>
        </w:rPr>
        <w:t>DMPP</w:t>
      </w:r>
      <w:r>
        <w:rPr>
          <w:rFonts w:hint="default" w:ascii="Times New Roman" w:hAnsi="Times New Roman" w:eastAsia="宋体" w:cs="Times New Roman"/>
          <w:i w:val="0"/>
          <w:iCs w:val="0"/>
          <w:caps w:val="0"/>
          <w:color w:val="auto"/>
          <w:spacing w:val="0"/>
          <w:sz w:val="24"/>
          <w:szCs w:val="24"/>
          <w:lang w:eastAsia="zh-CN"/>
        </w:rPr>
        <w:t>、</w:t>
      </w:r>
      <w:r>
        <w:rPr>
          <w:rFonts w:hint="default" w:ascii="Times New Roman" w:hAnsi="Times New Roman" w:eastAsia="Segoe UI Emoji" w:cs="Times New Roman"/>
          <w:i w:val="0"/>
          <w:iCs w:val="0"/>
          <w:caps w:val="0"/>
          <w:color w:val="auto"/>
          <w:spacing w:val="0"/>
          <w:sz w:val="24"/>
          <w:szCs w:val="24"/>
        </w:rPr>
        <w:t>DCD）</w:t>
      </w:r>
      <w:r>
        <w:rPr>
          <w:rFonts w:hint="default" w:ascii="Times New Roman" w:hAnsi="Times New Roman" w:eastAsia="宋体" w:cs="Times New Roman"/>
          <w:i w:val="0"/>
          <w:iCs w:val="0"/>
          <w:caps w:val="0"/>
          <w:color w:val="auto"/>
          <w:spacing w:val="0"/>
          <w:sz w:val="24"/>
          <w:szCs w:val="24"/>
          <w:lang w:val="en-US" w:eastAsia="zh-CN"/>
        </w:rPr>
        <w:t>这2组技术要求指标，以功能指标为最终评价标准，用户可灵活选择测定功能指标或者含量指标。</w:t>
      </w:r>
    </w:p>
    <w:p w14:paraId="7B5F0FB8">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0"/>
        <w:textAlignment w:val="auto"/>
        <w:rPr>
          <w:rFonts w:hint="eastAsia" w:ascii="宋体" w:hAnsi="宋体" w:eastAsia="宋体"/>
          <w:b/>
          <w:sz w:val="24"/>
          <w:szCs w:val="24"/>
          <w:lang w:val="en-US" w:eastAsia="zh-CN"/>
        </w:rPr>
      </w:pPr>
      <w:r>
        <w:rPr>
          <w:rFonts w:hint="eastAsia" w:ascii="宋体" w:hAnsi="宋体" w:eastAsia="宋体"/>
          <w:b/>
          <w:sz w:val="24"/>
          <w:szCs w:val="24"/>
          <w:lang w:val="en-US" w:eastAsia="zh-CN"/>
        </w:rPr>
        <w:t xml:space="preserve">（二）技术经济论证 </w:t>
      </w:r>
    </w:p>
    <w:p w14:paraId="6CC810DE">
      <w:pPr>
        <w:keepLines w:val="0"/>
        <w:pageBreakBefore w:val="0"/>
        <w:wordWrap/>
        <w:overflowPunct/>
        <w:topLinePunct w:val="0"/>
        <w:bidi w:val="0"/>
        <w:spacing w:line="360" w:lineRule="auto"/>
        <w:ind w:firstLine="480" w:firstLineChars="200"/>
        <w:rPr>
          <w:rFonts w:hint="eastAsia" w:ascii="Times New Roman" w:hAnsi="Times New Roman" w:eastAsia="宋体" w:cs="Times New Roman"/>
          <w:bCs/>
          <w:color w:val="auto"/>
          <w:sz w:val="24"/>
          <w:szCs w:val="24"/>
          <w:lang w:val="en-US" w:eastAsia="zh-CN"/>
        </w:rPr>
      </w:pPr>
      <w:r>
        <w:rPr>
          <w:rFonts w:hint="default" w:ascii="Times New Roman" w:hAnsi="Times New Roman" w:eastAsia="宋体" w:cs="Times New Roman"/>
          <w:bCs/>
          <w:color w:val="auto"/>
          <w:sz w:val="24"/>
          <w:szCs w:val="24"/>
          <w:lang w:val="en-US" w:eastAsia="zh-CN"/>
        </w:rPr>
        <w:t>本次标准修订围绕“分类更清晰、指标更科学、监管更可行”三大目标，</w:t>
      </w:r>
      <w:r>
        <w:rPr>
          <w:rFonts w:hint="eastAsia" w:ascii="Times New Roman" w:hAnsi="Times New Roman" w:eastAsia="宋体" w:cs="Times New Roman"/>
          <w:bCs/>
          <w:color w:val="auto"/>
          <w:sz w:val="24"/>
          <w:szCs w:val="24"/>
          <w:lang w:val="en-US" w:eastAsia="zh-CN"/>
        </w:rPr>
        <w:t>修订</w:t>
      </w:r>
      <w:r>
        <w:rPr>
          <w:rFonts w:hint="default" w:ascii="Times New Roman" w:hAnsi="Times New Roman" w:eastAsia="宋体" w:cs="Times New Roman"/>
          <w:bCs/>
          <w:color w:val="auto"/>
          <w:sz w:val="24"/>
          <w:szCs w:val="24"/>
          <w:lang w:val="en-US" w:eastAsia="zh-CN"/>
        </w:rPr>
        <w:t>5项核心内容：</w:t>
      </w:r>
      <w:r>
        <w:rPr>
          <w:rFonts w:hint="eastAsia" w:ascii="Times New Roman" w:hAnsi="Times New Roman" w:eastAsia="宋体" w:cs="Times New Roman"/>
          <w:bCs/>
          <w:color w:val="auto"/>
          <w:sz w:val="24"/>
          <w:szCs w:val="24"/>
          <w:lang w:val="en-US" w:eastAsia="zh-CN"/>
        </w:rPr>
        <w:t>1）</w:t>
      </w:r>
      <w:r>
        <w:rPr>
          <w:rFonts w:hint="default" w:ascii="Times New Roman" w:hAnsi="Times New Roman" w:eastAsia="宋体" w:cs="Times New Roman"/>
          <w:bCs/>
          <w:color w:val="auto"/>
          <w:sz w:val="24"/>
          <w:szCs w:val="24"/>
          <w:lang w:val="en-US" w:eastAsia="zh-CN"/>
        </w:rPr>
        <w:t>产品类型再划分：细化为“硝化抑制型”与“复合型”，增强产品功能识别度</w:t>
      </w:r>
      <w:r>
        <w:rPr>
          <w:rFonts w:hint="eastAsia" w:ascii="Times New Roman" w:hAnsi="Times New Roman" w:eastAsia="宋体" w:cs="Times New Roman"/>
          <w:bCs/>
          <w:color w:val="auto"/>
          <w:sz w:val="24"/>
          <w:szCs w:val="24"/>
          <w:lang w:val="en-US" w:eastAsia="zh-CN"/>
        </w:rPr>
        <w:t>；2）</w:t>
      </w:r>
      <w:r>
        <w:rPr>
          <w:rFonts w:hint="default" w:ascii="Times New Roman" w:hAnsi="Times New Roman" w:eastAsia="宋体" w:cs="Times New Roman"/>
          <w:bCs/>
          <w:color w:val="auto"/>
          <w:sz w:val="24"/>
          <w:szCs w:val="24"/>
          <w:lang w:val="en-US" w:eastAsia="zh-CN"/>
        </w:rPr>
        <w:t>核心功能指标重构：</w:t>
      </w:r>
      <w:r>
        <w:rPr>
          <w:rFonts w:hint="eastAsia" w:ascii="Times New Roman" w:hAnsi="Times New Roman" w:eastAsia="宋体" w:cs="Times New Roman"/>
          <w:bCs/>
          <w:color w:val="auto"/>
          <w:sz w:val="24"/>
          <w:szCs w:val="24"/>
          <w:lang w:val="en-US" w:eastAsia="zh-CN"/>
        </w:rPr>
        <w:t>将原标准中硝化抑制效果的检测指标“硝化抑制率”修改为“硝化潜势差异率”</w:t>
      </w:r>
      <w:r>
        <w:rPr>
          <w:rFonts w:hint="default" w:ascii="Times New Roman" w:hAnsi="Times New Roman" w:eastAsia="宋体" w:cs="Times New Roman"/>
          <w:bCs/>
          <w:color w:val="auto"/>
          <w:sz w:val="24"/>
          <w:szCs w:val="24"/>
          <w:lang w:val="en-US" w:eastAsia="zh-CN"/>
        </w:rPr>
        <w:t>，</w:t>
      </w:r>
      <w:r>
        <w:rPr>
          <w:rFonts w:hint="eastAsia" w:ascii="Times New Roman" w:hAnsi="Times New Roman" w:eastAsia="宋体" w:cs="Times New Roman"/>
          <w:bCs/>
          <w:color w:val="auto"/>
          <w:sz w:val="24"/>
          <w:szCs w:val="24"/>
          <w:lang w:val="en-US" w:eastAsia="zh-CN"/>
        </w:rPr>
        <w:t>培养时间由7天缩短至6小时，结构准确度大幅提升，</w:t>
      </w:r>
      <w:r>
        <w:rPr>
          <w:rFonts w:hint="default" w:ascii="Times New Roman" w:hAnsi="Times New Roman" w:eastAsia="宋体" w:cs="Times New Roman"/>
          <w:bCs/>
          <w:color w:val="auto"/>
          <w:sz w:val="24"/>
          <w:szCs w:val="24"/>
          <w:lang w:val="en-US" w:eastAsia="zh-CN"/>
        </w:rPr>
        <w:t>提升可操作性</w:t>
      </w:r>
      <w:r>
        <w:rPr>
          <w:rFonts w:hint="eastAsia" w:ascii="Times New Roman" w:hAnsi="Times New Roman" w:eastAsia="宋体" w:cs="Times New Roman"/>
          <w:bCs/>
          <w:color w:val="auto"/>
          <w:sz w:val="24"/>
          <w:szCs w:val="24"/>
          <w:lang w:val="en-US" w:eastAsia="zh-CN"/>
        </w:rPr>
        <w:t>和操作效率；3）</w:t>
      </w:r>
      <w:r>
        <w:rPr>
          <w:rFonts w:hint="default" w:ascii="Times New Roman" w:hAnsi="Times New Roman" w:eastAsia="宋体" w:cs="Times New Roman"/>
          <w:bCs/>
          <w:color w:val="auto"/>
          <w:sz w:val="24"/>
          <w:szCs w:val="24"/>
          <w:lang w:val="en-US" w:eastAsia="zh-CN"/>
        </w:rPr>
        <w:t>功能成分定量控制：首次提出如DCD等抑制剂的最低添加量，保障产品效果</w:t>
      </w:r>
      <w:r>
        <w:rPr>
          <w:rFonts w:hint="eastAsia" w:ascii="Times New Roman" w:hAnsi="Times New Roman" w:eastAsia="宋体" w:cs="Times New Roman"/>
          <w:bCs/>
          <w:color w:val="auto"/>
          <w:sz w:val="24"/>
          <w:szCs w:val="24"/>
          <w:lang w:val="en-US" w:eastAsia="zh-CN"/>
        </w:rPr>
        <w:t>；4）</w:t>
      </w:r>
      <w:r>
        <w:rPr>
          <w:rFonts w:hint="default" w:ascii="Times New Roman" w:hAnsi="Times New Roman" w:eastAsia="宋体" w:cs="Times New Roman"/>
          <w:bCs/>
          <w:color w:val="auto"/>
          <w:sz w:val="24"/>
          <w:szCs w:val="24"/>
          <w:lang w:val="en-US" w:eastAsia="zh-CN"/>
        </w:rPr>
        <w:t>标签标识规范化：统一产品类型、活性成分、含量与标准编号的标注要求</w:t>
      </w:r>
      <w:r>
        <w:rPr>
          <w:rFonts w:hint="eastAsia" w:ascii="Times New Roman" w:hAnsi="Times New Roman" w:eastAsia="宋体" w:cs="Times New Roman"/>
          <w:bCs/>
          <w:color w:val="auto"/>
          <w:sz w:val="24"/>
          <w:szCs w:val="24"/>
          <w:lang w:val="en-US" w:eastAsia="zh-CN"/>
        </w:rPr>
        <w:t>；5.）</w:t>
      </w:r>
      <w:r>
        <w:rPr>
          <w:rFonts w:hint="default" w:ascii="Times New Roman" w:hAnsi="Times New Roman" w:eastAsia="宋体" w:cs="Times New Roman"/>
          <w:bCs/>
          <w:color w:val="auto"/>
          <w:sz w:val="24"/>
          <w:szCs w:val="24"/>
          <w:lang w:val="en-US" w:eastAsia="zh-CN"/>
        </w:rPr>
        <w:t>检测方法系统更新：修订附录，提供科学、统一、可实施的检测技术体系</w:t>
      </w:r>
      <w:r>
        <w:rPr>
          <w:rFonts w:hint="eastAsia" w:ascii="Times New Roman" w:hAnsi="Times New Roman" w:eastAsia="宋体" w:cs="Times New Roman"/>
          <w:bCs/>
          <w:color w:val="auto"/>
          <w:sz w:val="24"/>
          <w:szCs w:val="24"/>
          <w:lang w:val="en-US" w:eastAsia="zh-CN"/>
        </w:rPr>
        <w:t>。</w:t>
      </w:r>
    </w:p>
    <w:p w14:paraId="353C7D4B">
      <w:pPr>
        <w:keepLines w:val="0"/>
        <w:pageBreakBefore w:val="0"/>
        <w:wordWrap/>
        <w:overflowPunct/>
        <w:topLinePunct w:val="0"/>
        <w:bidi w:val="0"/>
        <w:spacing w:line="360" w:lineRule="auto"/>
        <w:rPr>
          <w:rFonts w:hint="default"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lang w:val="en-US" w:eastAsia="zh-CN"/>
        </w:rPr>
        <w:t>1 技术可行性论证</w:t>
      </w:r>
    </w:p>
    <w:p w14:paraId="154D5C17">
      <w:pPr>
        <w:keepLines w:val="0"/>
        <w:pageBreakBefore w:val="0"/>
        <w:wordWrap/>
        <w:overflowPunct/>
        <w:topLinePunct w:val="0"/>
        <w:bidi w:val="0"/>
        <w:spacing w:line="360" w:lineRule="auto"/>
        <w:rPr>
          <w:rFonts w:hint="eastAsia"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lang w:val="en-US" w:eastAsia="zh-CN"/>
        </w:rPr>
        <w:t>1）产品分类优化：精准适配市场与应用需求</w:t>
      </w:r>
    </w:p>
    <w:p w14:paraId="05559D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Cs/>
          <w:color w:val="auto"/>
          <w:sz w:val="24"/>
          <w:szCs w:val="24"/>
          <w:lang w:val="en-US" w:eastAsia="zh-CN"/>
        </w:rPr>
      </w:pPr>
      <w:r>
        <w:rPr>
          <w:rFonts w:hint="default" w:ascii="Times New Roman" w:hAnsi="Times New Roman" w:eastAsia="宋体" w:cs="Times New Roman"/>
          <w:bCs/>
          <w:color w:val="auto"/>
          <w:sz w:val="24"/>
          <w:szCs w:val="24"/>
          <w:lang w:val="en-US" w:eastAsia="zh-CN"/>
        </w:rPr>
        <w:t>原标准将稳定性肥料分为 1 型（仅脲酶抑制剂）、2 型（仅硝化抑制剂）、3 型（双抑制剂），分类维度单一、功能指向模糊。难以区分不同抑制剂类型产品的功能差异，导致市场认知混乱、农户选购困难。修订后细化为“硝化抑制型”与“复合型”，技术适配性突出：一是功能指向清晰，硝化抑制型侧重减少硝态氮淋失和反硝化损失，适配多雨、砂质土壤及铵态氮为主的施肥场景；复合型含脲酶+硝化双抑制剂，实现氮素全周期调控，适配玉米、小麦等长周期作物，契合“一次底肥免追肥”的农业生产需求。二是技术落地门槛低，分类逻辑贴合国内主流企业生产工艺，无需新增核心生产设备，仅需调整原料配比和产品标注，企业可快速适配。三是与国际接轨，分类模式参考美国、欧盟等发达国家标准，利于国内产品出口和技术交流，打破国际市场分类壁垒。</w:t>
      </w:r>
    </w:p>
    <w:p w14:paraId="5E0DD181">
      <w:pPr>
        <w:keepLines w:val="0"/>
        <w:pageBreakBefore w:val="0"/>
        <w:wordWrap/>
        <w:overflowPunct/>
        <w:topLinePunct w:val="0"/>
        <w:bidi w:val="0"/>
        <w:spacing w:line="360" w:lineRule="auto"/>
        <w:rPr>
          <w:rFonts w:hint="default"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lang w:val="en-US" w:eastAsia="zh-CN"/>
        </w:rPr>
        <w:t>2）核心功能指标重构：提升检测效率与精准度</w:t>
      </w:r>
    </w:p>
    <w:p w14:paraId="3F5055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Cs/>
          <w:color w:val="auto"/>
          <w:sz w:val="24"/>
          <w:szCs w:val="24"/>
          <w:lang w:val="en-US" w:eastAsia="zh-CN"/>
        </w:rPr>
      </w:pPr>
      <w:r>
        <w:rPr>
          <w:rFonts w:hint="default" w:ascii="Times New Roman" w:hAnsi="Times New Roman" w:eastAsia="宋体" w:cs="Times New Roman"/>
          <w:bCs/>
          <w:color w:val="auto"/>
          <w:sz w:val="24"/>
          <w:szCs w:val="24"/>
          <w:lang w:val="en-US" w:eastAsia="zh-CN"/>
        </w:rPr>
        <w:t>将原标准“硝化抑制率”修改为“硝化潜势差异率”，并将培养时间由7天缩短至6小时，是本次修订的核心技术突破，技术可行性经多轮实验室验证：一是检测效率大幅提升，培养周期缩短96%，单一样品检测时间从7天压缩至1天内（含前处理），解决原检测方法周期长、效率低，导致企业送检排队、监管抽检滞后的痛点；二是指标精准度显著提高，原“硝化抑制率”受土壤微生物活性、培养环境波动影响大，不同实验室检测结果偏差超15%，新指标采用标准化土壤基质和快速培养法，结果偏差控制在5%以内，结构准确度大幅提升；三是操作便捷性增强，简化蒸馏、滴定等复杂步骤，适配分光光度计、高效液相色谱等常规检测设备，基层检测机构、企业实验室均可便捷操作，解决原方法“操作繁、难推广”的问题。</w:t>
      </w:r>
    </w:p>
    <w:p w14:paraId="13F6D5EA">
      <w:pPr>
        <w:keepLines w:val="0"/>
        <w:pageBreakBefore w:val="0"/>
        <w:wordWrap/>
        <w:overflowPunct/>
        <w:topLinePunct w:val="0"/>
        <w:bidi w:val="0"/>
        <w:spacing w:line="360" w:lineRule="auto"/>
        <w:rPr>
          <w:rFonts w:hint="eastAsia"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lang w:val="en-US" w:eastAsia="zh-CN"/>
        </w:rPr>
        <w:t>3）功能成分定量控制：筑牢产品效果底线</w:t>
      </w:r>
    </w:p>
    <w:p w14:paraId="500190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Cs/>
          <w:color w:val="auto"/>
          <w:sz w:val="24"/>
          <w:szCs w:val="24"/>
          <w:lang w:val="en-US" w:eastAsia="zh-CN"/>
        </w:rPr>
      </w:pPr>
      <w:r>
        <w:rPr>
          <w:rFonts w:hint="default" w:ascii="Times New Roman" w:hAnsi="Times New Roman" w:eastAsia="宋体" w:cs="Times New Roman"/>
          <w:bCs/>
          <w:color w:val="auto"/>
          <w:sz w:val="24"/>
          <w:szCs w:val="24"/>
          <w:lang w:val="en-US" w:eastAsia="zh-CN"/>
        </w:rPr>
        <w:t>首次提出</w:t>
      </w:r>
      <w:r>
        <w:rPr>
          <w:rFonts w:hint="eastAsia" w:ascii="Times New Roman" w:hAnsi="Times New Roman" w:eastAsia="宋体" w:cs="Times New Roman"/>
          <w:bCs/>
          <w:color w:val="auto"/>
          <w:sz w:val="24"/>
          <w:szCs w:val="24"/>
          <w:lang w:val="en-US" w:eastAsia="zh-CN"/>
        </w:rPr>
        <w:t>NBPT、</w:t>
      </w:r>
      <w:r>
        <w:rPr>
          <w:rFonts w:hint="default" w:ascii="Times New Roman" w:hAnsi="Times New Roman" w:eastAsia="宋体" w:cs="Times New Roman"/>
          <w:bCs/>
          <w:color w:val="auto"/>
          <w:sz w:val="24"/>
          <w:szCs w:val="24"/>
          <w:lang w:val="en-US" w:eastAsia="zh-CN"/>
        </w:rPr>
        <w:t>DCD</w:t>
      </w:r>
      <w:r>
        <w:rPr>
          <w:rFonts w:hint="eastAsia" w:ascii="Times New Roman" w:hAnsi="Times New Roman" w:eastAsia="宋体" w:cs="Times New Roman"/>
          <w:bCs/>
          <w:color w:val="auto"/>
          <w:sz w:val="24"/>
          <w:szCs w:val="24"/>
          <w:lang w:val="en-US" w:eastAsia="zh-CN"/>
        </w:rPr>
        <w:t>、DMPP这4种</w:t>
      </w:r>
      <w:r>
        <w:rPr>
          <w:rFonts w:hint="default" w:ascii="Times New Roman" w:hAnsi="Times New Roman" w:eastAsia="宋体" w:cs="Times New Roman"/>
          <w:bCs/>
          <w:color w:val="auto"/>
          <w:sz w:val="24"/>
          <w:szCs w:val="24"/>
          <w:lang w:val="en-US" w:eastAsia="zh-CN"/>
        </w:rPr>
        <w:t>抑制剂的最低添加量要求，技术设定科学合理，兼顾效果保障与成本平衡：一是基于大量田间试验验证，明确</w:t>
      </w:r>
      <w:r>
        <w:rPr>
          <w:rFonts w:hint="eastAsia" w:ascii="Times New Roman" w:hAnsi="Times New Roman" w:eastAsia="宋体" w:cs="Times New Roman"/>
          <w:bCs/>
          <w:color w:val="auto"/>
          <w:sz w:val="24"/>
          <w:szCs w:val="24"/>
          <w:lang w:val="en-US" w:eastAsia="zh-CN"/>
        </w:rPr>
        <w:t>NBPT、</w:t>
      </w:r>
      <w:r>
        <w:rPr>
          <w:rFonts w:hint="default" w:ascii="Times New Roman" w:hAnsi="Times New Roman" w:eastAsia="宋体" w:cs="Times New Roman"/>
          <w:bCs/>
          <w:color w:val="auto"/>
          <w:sz w:val="24"/>
          <w:szCs w:val="24"/>
          <w:lang w:val="en-US" w:eastAsia="zh-CN"/>
        </w:rPr>
        <w:t>DCD</w:t>
      </w:r>
      <w:r>
        <w:rPr>
          <w:rFonts w:hint="eastAsia" w:ascii="Times New Roman" w:hAnsi="Times New Roman" w:eastAsia="宋体" w:cs="Times New Roman"/>
          <w:bCs/>
          <w:color w:val="auto"/>
          <w:sz w:val="24"/>
          <w:szCs w:val="24"/>
          <w:lang w:val="en-US" w:eastAsia="zh-CN"/>
        </w:rPr>
        <w:t>、DMPP</w:t>
      </w:r>
      <w:r>
        <w:rPr>
          <w:rFonts w:hint="default" w:ascii="Times New Roman" w:hAnsi="Times New Roman" w:eastAsia="宋体" w:cs="Times New Roman"/>
          <w:bCs/>
          <w:color w:val="auto"/>
          <w:sz w:val="24"/>
          <w:szCs w:val="24"/>
          <w:lang w:val="en-US" w:eastAsia="zh-CN"/>
        </w:rPr>
        <w:t>等抑制剂最低添加量（如DCD不低于肥料总氮量的0.</w:t>
      </w:r>
      <w:r>
        <w:rPr>
          <w:rFonts w:hint="eastAsia" w:ascii="Times New Roman" w:hAnsi="Times New Roman" w:eastAsia="宋体" w:cs="Times New Roman"/>
          <w:bCs/>
          <w:color w:val="auto"/>
          <w:sz w:val="24"/>
          <w:szCs w:val="24"/>
          <w:lang w:val="en-US" w:eastAsia="zh-CN"/>
        </w:rPr>
        <w:t>05</w:t>
      </w:r>
      <w:r>
        <w:rPr>
          <w:rFonts w:hint="default" w:ascii="Times New Roman" w:hAnsi="Times New Roman" w:eastAsia="宋体" w:cs="Times New Roman"/>
          <w:bCs/>
          <w:color w:val="auto"/>
          <w:sz w:val="24"/>
          <w:szCs w:val="24"/>
          <w:lang w:val="en-US" w:eastAsia="zh-CN"/>
        </w:rPr>
        <w:t>%），此剂量下硝化抑制作用稳定，可减少氮素损失15%-20%，作物增产率达8%-12%，低于该剂量则效果不显著，有效杜绝企业“微量添加、虚假宣传”的乱象；二是适配国内主流抑制剂生产工艺，最低添加量设定充分考虑企业成本承受能力，既保障产品功能，又避免过高剂量增加不必要的生产成本，契合“低成本、高效益”的产业发展路线；三是为质量监管提供量化依据，解决原标准无有效成分下限、监管无据可依的问题，实现产品质量可检测、可判定。</w:t>
      </w:r>
    </w:p>
    <w:p w14:paraId="4C95313F">
      <w:pPr>
        <w:keepLines w:val="0"/>
        <w:pageBreakBefore w:val="0"/>
        <w:wordWrap/>
        <w:overflowPunct/>
        <w:topLinePunct w:val="0"/>
        <w:bidi w:val="0"/>
        <w:spacing w:line="360" w:lineRule="auto"/>
        <w:rPr>
          <w:rFonts w:hint="eastAsia"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lang w:val="en-US" w:eastAsia="zh-CN"/>
        </w:rPr>
        <w:t>4）标签标识与检测方法规范化：实现全流程标准化</w:t>
      </w:r>
    </w:p>
    <w:p w14:paraId="51D59E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Cs/>
          <w:color w:val="auto"/>
          <w:sz w:val="24"/>
          <w:szCs w:val="24"/>
          <w:lang w:val="en-US" w:eastAsia="zh-CN"/>
        </w:rPr>
      </w:pPr>
      <w:r>
        <w:rPr>
          <w:rFonts w:hint="default" w:ascii="Times New Roman" w:hAnsi="Times New Roman" w:eastAsia="宋体" w:cs="Times New Roman"/>
          <w:bCs/>
          <w:color w:val="auto"/>
          <w:sz w:val="24"/>
          <w:szCs w:val="24"/>
          <w:lang w:val="en-US" w:eastAsia="zh-CN"/>
        </w:rPr>
        <w:t>标签标识规范化：统一产品类型、活性成分、含量与标准编号的标注要求，解决原市场“名称混乱、标识缺失、误导农户”的问题，如明确区分“稳定性肥料”与“长效肥”“缓释肥”，农户可直观识别产品功能与质量，降低选购风险，同时规范企业生产经营行为，避免不正当竞争。</w:t>
      </w:r>
    </w:p>
    <w:p w14:paraId="6D1A80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Cs/>
          <w:color w:val="auto"/>
          <w:sz w:val="24"/>
          <w:szCs w:val="24"/>
          <w:lang w:val="en-US" w:eastAsia="zh-CN"/>
        </w:rPr>
      </w:pPr>
      <w:r>
        <w:rPr>
          <w:rFonts w:hint="default" w:ascii="Times New Roman" w:hAnsi="Times New Roman" w:eastAsia="宋体" w:cs="Times New Roman"/>
          <w:bCs/>
          <w:color w:val="auto"/>
          <w:sz w:val="24"/>
          <w:szCs w:val="24"/>
          <w:lang w:val="en-US" w:eastAsia="zh-CN"/>
        </w:rPr>
        <w:t xml:space="preserve"> 检测方法系统更新：修订标准附录，统一抑制剂含量（如DCD的</w:t>
      </w:r>
      <w:r>
        <w:rPr>
          <w:rFonts w:hint="eastAsia" w:ascii="Times New Roman" w:hAnsi="Times New Roman" w:eastAsia="宋体" w:cs="Times New Roman"/>
          <w:bCs/>
          <w:color w:val="auto"/>
          <w:sz w:val="24"/>
          <w:szCs w:val="24"/>
          <w:lang w:val="en-US" w:eastAsia="zh-CN"/>
        </w:rPr>
        <w:t>高效液相色谱法</w:t>
      </w:r>
      <w:r>
        <w:rPr>
          <w:rFonts w:hint="default" w:ascii="Times New Roman" w:hAnsi="Times New Roman" w:eastAsia="宋体" w:cs="Times New Roman"/>
          <w:bCs/>
          <w:color w:val="auto"/>
          <w:sz w:val="24"/>
          <w:szCs w:val="24"/>
          <w:lang w:val="en-US" w:eastAsia="zh-CN"/>
        </w:rPr>
        <w:t>）、</w:t>
      </w:r>
      <w:r>
        <w:rPr>
          <w:rFonts w:hint="eastAsia" w:ascii="Times New Roman" w:hAnsi="Times New Roman" w:eastAsia="宋体" w:cs="Times New Roman"/>
          <w:bCs/>
          <w:color w:val="auto"/>
          <w:sz w:val="24"/>
          <w:szCs w:val="24"/>
          <w:lang w:val="en-US" w:eastAsia="zh-CN"/>
        </w:rPr>
        <w:t>尿素含量等指标</w:t>
      </w:r>
      <w:r>
        <w:rPr>
          <w:rFonts w:hint="default" w:ascii="Times New Roman" w:hAnsi="Times New Roman" w:eastAsia="宋体" w:cs="Times New Roman"/>
          <w:bCs/>
          <w:color w:val="auto"/>
          <w:sz w:val="24"/>
          <w:szCs w:val="24"/>
          <w:lang w:val="en-US" w:eastAsia="zh-CN"/>
        </w:rPr>
        <w:t>检测流程与技术参数，形成“科学、统一、可实施”的检测技术体系，消除企业自检、第三方检测、监管抽检之间的方法差异，保障检测结果一致性，为质量监管、产品合格判定提供统一技术支撑。</w:t>
      </w:r>
    </w:p>
    <w:p w14:paraId="15E98390">
      <w:pPr>
        <w:keepLines w:val="0"/>
        <w:pageBreakBefore w:val="0"/>
        <w:wordWrap/>
        <w:overflowPunct/>
        <w:topLinePunct w:val="0"/>
        <w:bidi w:val="0"/>
        <w:spacing w:line="360" w:lineRule="auto"/>
        <w:rPr>
          <w:rFonts w:hint="default"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lang w:val="en-US" w:eastAsia="zh-CN"/>
        </w:rPr>
        <w:t>2、经济可行性论证</w:t>
      </w:r>
    </w:p>
    <w:p w14:paraId="5DE5BF51">
      <w:pPr>
        <w:keepLines w:val="0"/>
        <w:pageBreakBefore w:val="0"/>
        <w:wordWrap/>
        <w:overflowPunct/>
        <w:topLinePunct w:val="0"/>
        <w:bidi w:val="0"/>
        <w:spacing w:line="360" w:lineRule="auto"/>
        <w:rPr>
          <w:rFonts w:hint="eastAsia"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lang w:val="en-US" w:eastAsia="zh-CN"/>
        </w:rPr>
        <w:t>1）企业层面：短期成本小幅波动，长期收益持续提升</w:t>
      </w:r>
    </w:p>
    <w:p w14:paraId="3B3532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Cs/>
          <w:color w:val="auto"/>
          <w:sz w:val="24"/>
          <w:szCs w:val="24"/>
          <w:lang w:val="en-US" w:eastAsia="zh-CN"/>
        </w:rPr>
      </w:pPr>
      <w:r>
        <w:rPr>
          <w:rFonts w:hint="default" w:ascii="Times New Roman" w:hAnsi="Times New Roman" w:eastAsia="宋体" w:cs="Times New Roman"/>
          <w:bCs/>
          <w:color w:val="auto"/>
          <w:sz w:val="24"/>
          <w:szCs w:val="24"/>
          <w:lang w:val="en-US" w:eastAsia="zh-CN"/>
        </w:rPr>
        <w:t>短期成本变化：一是新增成本，企业需按最低添加量补加抑制剂，吨肥料抑制剂成本增加约15-25元（以DCD为例，单价5万元/吨，最低添加量0.3%，吨成本增加</w:t>
      </w:r>
      <w:r>
        <w:rPr>
          <w:rFonts w:hint="default" w:ascii="Times New Roman" w:hAnsi="Times New Roman" w:eastAsia="宋体" w:cs="Times New Roman"/>
          <w:bCs/>
          <w:color w:val="FF0000"/>
          <w:sz w:val="24"/>
          <w:szCs w:val="24"/>
          <w:lang w:val="en-US" w:eastAsia="zh-CN"/>
        </w:rPr>
        <w:t>15</w:t>
      </w:r>
      <w:r>
        <w:rPr>
          <w:rFonts w:hint="eastAsia" w:ascii="Times New Roman" w:hAnsi="Times New Roman" w:eastAsia="宋体" w:cs="Times New Roman"/>
          <w:bCs/>
          <w:color w:val="FF0000"/>
          <w:sz w:val="24"/>
          <w:szCs w:val="24"/>
          <w:lang w:val="en-US" w:eastAsia="zh-CN"/>
        </w:rPr>
        <w:t>0</w:t>
      </w:r>
      <w:r>
        <w:rPr>
          <w:rFonts w:hint="default" w:ascii="Times New Roman" w:hAnsi="Times New Roman" w:eastAsia="宋体" w:cs="Times New Roman"/>
          <w:bCs/>
          <w:color w:val="auto"/>
          <w:sz w:val="24"/>
          <w:szCs w:val="24"/>
          <w:lang w:val="en-US" w:eastAsia="zh-CN"/>
        </w:rPr>
        <w:t>元）；标签设计、生产工艺微调成本约5-8元/吨。二是成本节约，检测效率提升使企业自检成本降低40%-60%；产品合格率提升，减少不合格品返工、召回损失（原行业不合格率约8%-12%，修订后可降至3%以下）。综合测算，吨肥料短期成本增加约10-20元，占肥料总成本（约2500元/吨）的0.4%-0.8%，对企业经营影响极小。</w:t>
      </w:r>
    </w:p>
    <w:p w14:paraId="13E1F5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Cs/>
          <w:color w:val="auto"/>
          <w:sz w:val="24"/>
          <w:szCs w:val="24"/>
          <w:lang w:val="en-US" w:eastAsia="zh-CN"/>
        </w:rPr>
      </w:pPr>
      <w:r>
        <w:rPr>
          <w:rFonts w:hint="default" w:ascii="Times New Roman" w:hAnsi="Times New Roman" w:eastAsia="宋体" w:cs="Times New Roman"/>
          <w:bCs/>
          <w:color w:val="auto"/>
          <w:sz w:val="24"/>
          <w:szCs w:val="24"/>
          <w:lang w:val="en-US" w:eastAsia="zh-CN"/>
        </w:rPr>
        <w:t>长期经济效益：一是市场溢价能力提升，标准规范后，优质产品辨识度提高，可获得5%-10%的市场溢价（如稳定性复合肥原售价</w:t>
      </w:r>
      <w:r>
        <w:rPr>
          <w:rFonts w:hint="eastAsia" w:ascii="Times New Roman" w:hAnsi="Times New Roman" w:eastAsia="宋体" w:cs="Times New Roman"/>
          <w:bCs/>
          <w:color w:val="auto"/>
          <w:sz w:val="24"/>
          <w:szCs w:val="24"/>
          <w:lang w:val="en-US" w:eastAsia="zh-CN"/>
        </w:rPr>
        <w:t>30</w:t>
      </w:r>
      <w:r>
        <w:rPr>
          <w:rFonts w:hint="default" w:ascii="Times New Roman" w:hAnsi="Times New Roman" w:eastAsia="宋体" w:cs="Times New Roman"/>
          <w:bCs/>
          <w:color w:val="auto"/>
          <w:sz w:val="24"/>
          <w:szCs w:val="24"/>
          <w:lang w:val="en-US" w:eastAsia="zh-CN"/>
        </w:rPr>
        <w:t>00元/吨，溢价后可达</w:t>
      </w:r>
      <w:r>
        <w:rPr>
          <w:rFonts w:hint="eastAsia" w:ascii="Times New Roman" w:hAnsi="Times New Roman" w:eastAsia="宋体" w:cs="Times New Roman"/>
          <w:bCs/>
          <w:color w:val="auto"/>
          <w:sz w:val="24"/>
          <w:szCs w:val="24"/>
          <w:lang w:val="en-US" w:eastAsia="zh-CN"/>
        </w:rPr>
        <w:t>3150</w:t>
      </w:r>
      <w:r>
        <w:rPr>
          <w:rFonts w:hint="default" w:ascii="Times New Roman" w:hAnsi="Times New Roman" w:eastAsia="宋体" w:cs="Times New Roman"/>
          <w:bCs/>
          <w:color w:val="auto"/>
          <w:sz w:val="24"/>
          <w:szCs w:val="24"/>
          <w:lang w:val="en-US" w:eastAsia="zh-CN"/>
        </w:rPr>
        <w:t>-3</w:t>
      </w:r>
      <w:r>
        <w:rPr>
          <w:rFonts w:hint="eastAsia" w:ascii="Times New Roman" w:hAnsi="Times New Roman" w:eastAsia="宋体" w:cs="Times New Roman"/>
          <w:bCs/>
          <w:color w:val="auto"/>
          <w:sz w:val="24"/>
          <w:szCs w:val="24"/>
          <w:lang w:val="en-US" w:eastAsia="zh-CN"/>
        </w:rPr>
        <w:t>300</w:t>
      </w:r>
      <w:r>
        <w:rPr>
          <w:rFonts w:hint="default" w:ascii="Times New Roman" w:hAnsi="Times New Roman" w:eastAsia="宋体" w:cs="Times New Roman"/>
          <w:bCs/>
          <w:color w:val="auto"/>
          <w:sz w:val="24"/>
          <w:szCs w:val="24"/>
          <w:lang w:val="en-US" w:eastAsia="zh-CN"/>
        </w:rPr>
        <w:t>元/吨）；二是规模效应降本，行业规范化推动产业集中度提升，龙头企业规模扩大，原料采购、生产效率优化，吨成本可再降低30-50元；三是市场拓展收益，分类与国际接轨，出口壁垒降低，预计国内稳定性肥料出口量可提升20%-30%，为企业开辟新的利润增长点。</w:t>
      </w:r>
    </w:p>
    <w:p w14:paraId="5BE50D48">
      <w:pPr>
        <w:keepLines w:val="0"/>
        <w:pageBreakBefore w:val="0"/>
        <w:wordWrap/>
        <w:overflowPunct/>
        <w:topLinePunct w:val="0"/>
        <w:bidi w:val="0"/>
        <w:spacing w:line="360" w:lineRule="auto"/>
        <w:rPr>
          <w:rFonts w:hint="eastAsia"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lang w:val="en-US" w:eastAsia="zh-CN"/>
        </w:rPr>
        <w:t>2）检测与监管层面：大幅降低成本，提升监管效率</w:t>
      </w:r>
    </w:p>
    <w:p w14:paraId="466865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Cs/>
          <w:color w:val="auto"/>
          <w:sz w:val="24"/>
          <w:szCs w:val="24"/>
          <w:lang w:val="en-US" w:eastAsia="zh-CN"/>
        </w:rPr>
      </w:pPr>
      <w:r>
        <w:rPr>
          <w:rFonts w:hint="default" w:ascii="Times New Roman" w:hAnsi="Times New Roman" w:eastAsia="宋体" w:cs="Times New Roman"/>
          <w:bCs/>
          <w:color w:val="auto"/>
          <w:sz w:val="24"/>
          <w:szCs w:val="24"/>
          <w:lang w:val="en-US" w:eastAsia="zh-CN"/>
        </w:rPr>
        <w:t>检测机构：无需新增检测设备，新检测方法适配现有常规设备，人力成本降低60%以上（原7天检测需专人值守，修订后6小时即可完成），年运营成本降低30%-40%，同时检测能力提升5-8倍，可更好满足企业送检和监管抽检需求。</w:t>
      </w:r>
    </w:p>
    <w:p w14:paraId="0905B5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Cs/>
          <w:color w:val="auto"/>
          <w:sz w:val="24"/>
          <w:szCs w:val="24"/>
          <w:lang w:val="en-US" w:eastAsia="zh-CN"/>
        </w:rPr>
      </w:pPr>
      <w:r>
        <w:rPr>
          <w:rFonts w:hint="default" w:ascii="Times New Roman" w:hAnsi="Times New Roman" w:eastAsia="宋体" w:cs="Times New Roman"/>
          <w:bCs/>
          <w:color w:val="auto"/>
          <w:sz w:val="24"/>
          <w:szCs w:val="24"/>
          <w:lang w:val="en-US" w:eastAsia="zh-CN"/>
        </w:rPr>
        <w:t>监管部门：抽检周期缩短、检测结果精准度提升，监管覆盖范围可扩大5倍以上，实现“季度抽检”向“月度抽检”转变，市场监管成本降低50%以上，有效遏制假冒伪劣产品，减少监管资源浪费，提升监管效能。</w:t>
      </w:r>
    </w:p>
    <w:p w14:paraId="56A2519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 xml:space="preserve">  综上可知，该标准的修订技术上可行、经济上划算、整体值得推行，将带来带来显著的技术和经济效益。</w:t>
      </w:r>
    </w:p>
    <w:p w14:paraId="6B845873">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0"/>
        <w:textAlignment w:val="auto"/>
        <w:rPr>
          <w:rFonts w:hint="default" w:ascii="宋体" w:hAnsi="宋体" w:eastAsia="宋体"/>
          <w:b/>
          <w:color w:val="auto"/>
          <w:sz w:val="24"/>
          <w:szCs w:val="24"/>
          <w:lang w:val="en-US" w:eastAsia="zh-CN"/>
        </w:rPr>
      </w:pPr>
      <w:r>
        <w:rPr>
          <w:rFonts w:hint="eastAsia" w:ascii="宋体" w:hAnsi="宋体" w:eastAsia="宋体"/>
          <w:b/>
          <w:color w:val="auto"/>
          <w:sz w:val="24"/>
          <w:szCs w:val="24"/>
          <w:lang w:val="en-US" w:eastAsia="zh-CN"/>
        </w:rPr>
        <w:t>（三）预期的经济效益、社会效益和生态效益</w:t>
      </w:r>
    </w:p>
    <w:p w14:paraId="2C7B2C2D">
      <w:pPr>
        <w:keepLines w:val="0"/>
        <w:pageBreakBefore w:val="0"/>
        <w:wordWrap/>
        <w:overflowPunct/>
        <w:topLinePunct w:val="0"/>
        <w:bidi w:val="0"/>
        <w:spacing w:line="360" w:lineRule="auto"/>
        <w:rPr>
          <w:rFonts w:hint="default"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lang w:val="en-US" w:eastAsia="zh-CN"/>
        </w:rPr>
        <w:t>1 经济效益</w:t>
      </w:r>
    </w:p>
    <w:p w14:paraId="239464EE">
      <w:pPr>
        <w:keepLines w:val="0"/>
        <w:pageBreakBefore w:val="0"/>
        <w:wordWrap/>
        <w:overflowPunct/>
        <w:topLinePunct w:val="0"/>
        <w:bidi w:val="0"/>
        <w:spacing w:line="360" w:lineRule="auto"/>
        <w:ind w:firstLine="480" w:firstLineChars="200"/>
        <w:rPr>
          <w:rFonts w:hint="default"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lang w:val="en-US" w:eastAsia="zh-CN"/>
        </w:rPr>
        <w:t>稳定性肥料在农业生产中具有</w:t>
      </w:r>
      <w:r>
        <w:rPr>
          <w:rFonts w:hint="default" w:ascii="Times New Roman" w:hAnsi="Times New Roman" w:eastAsia="宋体" w:cs="Times New Roman"/>
          <w:bCs/>
          <w:color w:val="auto"/>
          <w:sz w:val="24"/>
          <w:szCs w:val="24"/>
          <w:lang w:val="en-US" w:eastAsia="zh-CN"/>
        </w:rPr>
        <w:t>显著的增收效益：一是化肥减量，大田作物（玉米、小麦）可减少氮肥施用量15%-20%，亩施肥成本降低20-35元；二是增产提质，作物平均增产8%-15%，以玉米为例，亩产由600kg提升至650-690kg，亩增收130-180元（按玉米单价2.6元/kg计算）；三是节工省本，复合型肥料实现“一次底肥免追肥”，亩节省人工成本40-60元（追肥需2-3次人工）。综合测算，农户亩均净增收150-250元，按国内稳定性肥料年应用面积3亿亩计算，年新增农业经济效益450-750亿元，经济效益十分显著。</w:t>
      </w:r>
    </w:p>
    <w:p w14:paraId="207D5CB9">
      <w:pPr>
        <w:keepLines w:val="0"/>
        <w:pageBreakBefore w:val="0"/>
        <w:wordWrap/>
        <w:overflowPunct/>
        <w:topLinePunct w:val="0"/>
        <w:bidi w:val="0"/>
        <w:spacing w:line="360" w:lineRule="auto"/>
        <w:ind w:firstLine="480" w:firstLineChars="200"/>
        <w:rPr>
          <w:rFonts w:hint="default"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lang w:val="en-US" w:eastAsia="zh-CN"/>
        </w:rPr>
        <w:t>而本</w:t>
      </w:r>
      <w:r>
        <w:rPr>
          <w:rFonts w:hint="default" w:ascii="Times New Roman" w:hAnsi="Times New Roman" w:eastAsia="宋体" w:cs="Times New Roman"/>
          <w:bCs/>
          <w:color w:val="auto"/>
          <w:sz w:val="24"/>
          <w:szCs w:val="24"/>
          <w:lang w:val="en-US" w:eastAsia="zh-CN"/>
        </w:rPr>
        <w:t>标准修订后，</w:t>
      </w:r>
      <w:r>
        <w:rPr>
          <w:rFonts w:hint="eastAsia" w:ascii="Times New Roman" w:hAnsi="Times New Roman" w:eastAsia="宋体" w:cs="Times New Roman"/>
          <w:bCs/>
          <w:color w:val="auto"/>
          <w:sz w:val="24"/>
          <w:szCs w:val="24"/>
          <w:lang w:val="en-US" w:eastAsia="zh-CN"/>
        </w:rPr>
        <w:t>将规范稳定性肥料产品的质量、商品的流通和产业的升级</w:t>
      </w:r>
      <w:r>
        <w:rPr>
          <w:rFonts w:hint="default" w:ascii="Times New Roman" w:hAnsi="Times New Roman" w:eastAsia="宋体" w:cs="Times New Roman"/>
          <w:bCs/>
          <w:color w:val="auto"/>
          <w:sz w:val="24"/>
          <w:szCs w:val="24"/>
          <w:lang w:val="en-US" w:eastAsia="zh-CN"/>
        </w:rPr>
        <w:t>，</w:t>
      </w:r>
      <w:r>
        <w:rPr>
          <w:rFonts w:hint="eastAsia" w:ascii="Times New Roman" w:hAnsi="Times New Roman" w:eastAsia="宋体" w:cs="Times New Roman"/>
          <w:bCs/>
          <w:color w:val="auto"/>
          <w:sz w:val="24"/>
          <w:szCs w:val="24"/>
          <w:lang w:val="en-US" w:eastAsia="zh-CN"/>
        </w:rPr>
        <w:t>预计将带来行业稳定性肥料10%以上的销量增加，由此带来45-45亿元的经济效益。</w:t>
      </w:r>
    </w:p>
    <w:p w14:paraId="1ED6623B">
      <w:pPr>
        <w:keepLines w:val="0"/>
        <w:pageBreakBefore w:val="0"/>
        <w:wordWrap/>
        <w:overflowPunct/>
        <w:topLinePunct w:val="0"/>
        <w:bidi w:val="0"/>
        <w:spacing w:line="360" w:lineRule="auto"/>
        <w:rPr>
          <w:rFonts w:hint="eastAsia"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lang w:val="en-US" w:eastAsia="zh-CN"/>
        </w:rPr>
        <w:t>2 社会效益</w:t>
      </w:r>
    </w:p>
    <w:p w14:paraId="30A234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lang w:val="en-US" w:eastAsia="zh-CN"/>
        </w:rPr>
        <w:t>1）净化行业环境：解决原市场“劣币驱逐良币”问题（虚假稳定性肥料产品占比约15%-20%），规范企业生产经营行为，保护正规企业和农户合法权益，推动行业良性发展。</w:t>
      </w:r>
    </w:p>
    <w:p w14:paraId="08EE9D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lang w:val="en-US" w:eastAsia="zh-CN"/>
        </w:rPr>
        <w:t>2）保障粮食安全：肥料利用率提升、作物增产，为国家粮食稳产增产提供有力支撑，助力“化肥零增长”“粮食安全”战略落地，增强我国农业生产的稳定性和抗风险能力。</w:t>
      </w:r>
    </w:p>
    <w:p w14:paraId="7CFD28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lang w:val="en-US" w:eastAsia="zh-CN"/>
        </w:rPr>
        <w:t>3）推动产业升级：引导企业加大技术研发投入，淘汰落后产能，推动稳定性肥料产业向“高质量、高效益、绿色化”转型，提升我国肥料产业的核心竞争力。</w:t>
      </w:r>
    </w:p>
    <w:p w14:paraId="5D5A0C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lang w:val="en-US" w:eastAsia="zh-CN"/>
        </w:rPr>
        <w:t>4）提升农户获得感：农户通过化肥减量、增产增收、节工省本，切实提升农业生产收益，同时规范的标签标识和产品质量，降低农户选购风险，增强农户对稳定性肥料的认可度。</w:t>
      </w:r>
    </w:p>
    <w:p w14:paraId="0CA15A86">
      <w:pPr>
        <w:keepLines w:val="0"/>
        <w:pageBreakBefore w:val="0"/>
        <w:wordWrap/>
        <w:overflowPunct/>
        <w:topLinePunct w:val="0"/>
        <w:bidi w:val="0"/>
        <w:spacing w:line="360" w:lineRule="auto"/>
        <w:rPr>
          <w:rFonts w:hint="eastAsia"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lang w:val="en-US" w:eastAsia="zh-CN"/>
        </w:rPr>
        <w:t>3生态效益</w:t>
      </w:r>
    </w:p>
    <w:p w14:paraId="0CA162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lang w:val="en-US" w:eastAsia="zh-CN"/>
        </w:rPr>
        <w:t>稳定性肥料具有显著的积极环境效用，主要表现在</w:t>
      </w:r>
      <w:r>
        <w:rPr>
          <w:rFonts w:hint="default" w:ascii="Times New Roman" w:hAnsi="Times New Roman" w:eastAsia="宋体" w:cs="Times New Roman"/>
          <w:bCs/>
          <w:color w:val="auto"/>
          <w:sz w:val="24"/>
          <w:szCs w:val="24"/>
          <w:lang w:val="en-US" w:eastAsia="zh-CN"/>
        </w:rPr>
        <w:t>1</w:t>
      </w:r>
      <w:r>
        <w:rPr>
          <w:rFonts w:hint="eastAsia" w:ascii="Times New Roman" w:hAnsi="Times New Roman" w:eastAsia="宋体" w:cs="Times New Roman"/>
          <w:bCs/>
          <w:color w:val="auto"/>
          <w:sz w:val="24"/>
          <w:szCs w:val="24"/>
          <w:lang w:val="en-US" w:eastAsia="zh-CN"/>
        </w:rPr>
        <w:t>）</w:t>
      </w:r>
      <w:r>
        <w:rPr>
          <w:rFonts w:hint="default" w:ascii="Times New Roman" w:hAnsi="Times New Roman" w:eastAsia="宋体" w:cs="Times New Roman"/>
          <w:bCs/>
          <w:color w:val="auto"/>
          <w:sz w:val="24"/>
          <w:szCs w:val="24"/>
          <w:lang w:val="en-US" w:eastAsia="zh-CN"/>
        </w:rPr>
        <w:t>减少氮素损失，降低环境污染风险：硝化抑制作用可减少硝态氮淋失40%-50%、反硝化损失（N₂O等温室气体）30%-45%，年减少氮素流失约120-150万吨，有效降低水体富营养化、土壤酸化风险，保护地表水、地下水环境。2</w:t>
      </w:r>
      <w:r>
        <w:rPr>
          <w:rFonts w:hint="eastAsia" w:ascii="Times New Roman" w:hAnsi="Times New Roman" w:eastAsia="宋体" w:cs="Times New Roman"/>
          <w:bCs/>
          <w:color w:val="auto"/>
          <w:sz w:val="24"/>
          <w:szCs w:val="24"/>
          <w:lang w:val="en-US" w:eastAsia="zh-CN"/>
        </w:rPr>
        <w:t>）</w:t>
      </w:r>
      <w:r>
        <w:rPr>
          <w:rFonts w:hint="default" w:ascii="Times New Roman" w:hAnsi="Times New Roman" w:eastAsia="宋体" w:cs="Times New Roman"/>
          <w:bCs/>
          <w:color w:val="auto"/>
          <w:sz w:val="24"/>
          <w:szCs w:val="24"/>
          <w:lang w:val="en-US" w:eastAsia="zh-CN"/>
        </w:rPr>
        <w:t>助力“双碳”目标实现：减少氮肥生产（每公斤氮肥生产排放CO₂约2.8kg）和温室气体排放，年减排CO₂当量约336-420万吨，契合农业绿色低碳发展要求，为国家“双碳”战略落地提供支撑。3</w:t>
      </w:r>
      <w:r>
        <w:rPr>
          <w:rFonts w:hint="eastAsia" w:ascii="Times New Roman" w:hAnsi="Times New Roman" w:eastAsia="宋体" w:cs="Times New Roman"/>
          <w:bCs/>
          <w:color w:val="auto"/>
          <w:sz w:val="24"/>
          <w:szCs w:val="24"/>
          <w:lang w:val="en-US" w:eastAsia="zh-CN"/>
        </w:rPr>
        <w:t>）</w:t>
      </w:r>
      <w:r>
        <w:rPr>
          <w:rFonts w:hint="default" w:ascii="Times New Roman" w:hAnsi="Times New Roman" w:eastAsia="宋体" w:cs="Times New Roman"/>
          <w:bCs/>
          <w:color w:val="auto"/>
          <w:sz w:val="24"/>
          <w:szCs w:val="24"/>
          <w:lang w:val="en-US" w:eastAsia="zh-CN"/>
        </w:rPr>
        <w:t>保护耕地质量：稳定氮素供应，减少过量施肥导致的土壤板结、盐渍化，提升土壤微生物活性，改善土壤理化性质，保障耕地质量持续提升，助力耕地保护战略实施。</w:t>
      </w:r>
    </w:p>
    <w:p w14:paraId="62B58B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lang w:val="en-US" w:eastAsia="zh-CN"/>
        </w:rPr>
        <w:t>因此，本标准修订带来的行业规范、产业升级和应用扩大，将会进一步增加其对生态的积极促进效应，具有深远和显著的生态效益。</w:t>
      </w:r>
    </w:p>
    <w:p w14:paraId="5A263A95">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rPr>
          <w:rFonts w:ascii="黑体" w:hAnsi="黑体" w:eastAsia="黑体"/>
          <w:sz w:val="28"/>
          <w:szCs w:val="21"/>
        </w:rPr>
      </w:pPr>
      <w:r>
        <w:rPr>
          <w:rFonts w:hint="eastAsia" w:ascii="黑体" w:hAnsi="黑体" w:eastAsia="黑体"/>
          <w:sz w:val="28"/>
          <w:szCs w:val="21"/>
          <w:lang w:val="en-US" w:eastAsia="zh-CN"/>
        </w:rPr>
        <w:t>四</w:t>
      </w:r>
      <w:r>
        <w:rPr>
          <w:rFonts w:hint="eastAsia" w:ascii="黑体" w:hAnsi="黑体" w:eastAsia="黑体"/>
          <w:sz w:val="28"/>
          <w:szCs w:val="21"/>
        </w:rPr>
        <w:t>、与国际、国外同类标准技术内容的对比情况，或者与测试的国外样品、样机的有关数据对比情况</w:t>
      </w:r>
    </w:p>
    <w:p w14:paraId="5F6B9492">
      <w:pPr>
        <w:keepLines w:val="0"/>
        <w:pageBreakBefore w:val="0"/>
        <w:wordWrap/>
        <w:overflowPunct/>
        <w:topLinePunct w:val="0"/>
        <w:bidi w:val="0"/>
        <w:spacing w:line="360" w:lineRule="auto"/>
        <w:ind w:firstLine="480" w:firstLineChars="200"/>
        <w:rPr>
          <w:rFonts w:hint="default" w:ascii="Times New Roman" w:hAnsi="Times New Roman" w:eastAsia="宋体" w:cs="Times New Roman"/>
          <w:bCs/>
          <w:sz w:val="24"/>
          <w:szCs w:val="24"/>
          <w:lang w:val="en-US" w:eastAsia="zh-CN"/>
          <w14:textFill>
            <w14:gradFill>
              <w14:gsLst>
                <w14:gs w14:pos="50000">
                  <w14:srgbClr w14:val="1F5FBF"/>
                </w14:gs>
                <w14:gs w14:pos="0">
                  <w14:srgbClr w14:val="1486CB"/>
                </w14:gs>
                <w14:gs w14:pos="100000">
                  <w14:srgbClr w14:val="2A34B2"/>
                </w14:gs>
              </w14:gsLst>
              <w14:lin w14:ang="5400000" w14:scaled="1"/>
            </w14:gradFill>
          </w14:textFill>
        </w:rPr>
      </w:pPr>
      <w:r>
        <w:rPr>
          <w:rFonts w:ascii="Times New Roman" w:hAnsi="Times New Roman" w:eastAsia="宋体" w:cs="Times New Roman"/>
          <w:bCs/>
          <w:sz w:val="24"/>
          <w:szCs w:val="24"/>
        </w:rPr>
        <w:t>目前尚未发现有国际及国外有</w:t>
      </w:r>
      <w:r>
        <w:rPr>
          <w:rFonts w:hint="eastAsia" w:ascii="Times New Roman" w:hAnsi="Times New Roman" w:eastAsia="宋体" w:cs="Times New Roman"/>
          <w:bCs/>
          <w:sz w:val="24"/>
          <w:szCs w:val="24"/>
          <w:lang w:val="en-US" w:eastAsia="zh-CN"/>
        </w:rPr>
        <w:t>稳定性</w:t>
      </w:r>
      <w:r>
        <w:rPr>
          <w:rFonts w:ascii="Times New Roman" w:hAnsi="Times New Roman" w:eastAsia="宋体" w:cs="Times New Roman"/>
          <w:bCs/>
          <w:sz w:val="24"/>
          <w:szCs w:val="24"/>
        </w:rPr>
        <w:t>肥料的标准颁布。此标准填补国内外空白。本团体标准的建立，在规范行业发展的同时，将会进一步扩大产品应用面，促进</w:t>
      </w:r>
      <w:r>
        <w:rPr>
          <w:rFonts w:hint="eastAsia" w:ascii="Times New Roman" w:hAnsi="Times New Roman" w:eastAsia="宋体" w:cs="Times New Roman"/>
          <w:bCs/>
          <w:sz w:val="24"/>
          <w:szCs w:val="24"/>
          <w:lang w:val="en-US" w:eastAsia="zh-CN"/>
        </w:rPr>
        <w:t>稳定性</w:t>
      </w:r>
      <w:r>
        <w:rPr>
          <w:rFonts w:ascii="Times New Roman" w:hAnsi="Times New Roman" w:eastAsia="宋体" w:cs="Times New Roman"/>
          <w:bCs/>
          <w:sz w:val="24"/>
          <w:szCs w:val="24"/>
        </w:rPr>
        <w:t>肥料的进一步规范推广和使用。</w:t>
      </w:r>
    </w:p>
    <w:p w14:paraId="15206CBB">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rPr>
          <w:rFonts w:hint="eastAsia" w:ascii="黑体" w:hAnsi="黑体" w:eastAsia="黑体"/>
          <w:sz w:val="28"/>
          <w:szCs w:val="21"/>
        </w:rPr>
      </w:pPr>
      <w:r>
        <w:rPr>
          <w:rFonts w:hint="eastAsia" w:ascii="黑体" w:hAnsi="黑体" w:eastAsia="黑体"/>
          <w:sz w:val="28"/>
          <w:szCs w:val="21"/>
        </w:rPr>
        <w:t>五、以国际标准为基础的起草情况，以及是否合规引用或者采用国际国外标准，并说明未采用国际标准的原因;</w:t>
      </w:r>
    </w:p>
    <w:p w14:paraId="2A18EC6E">
      <w:pPr>
        <w:keepLines w:val="0"/>
        <w:pageBreakBefore w:val="0"/>
        <w:wordWrap/>
        <w:overflowPunct/>
        <w:topLinePunct w:val="0"/>
        <w:bidi w:val="0"/>
        <w:spacing w:line="360" w:lineRule="auto"/>
        <w:ind w:firstLine="480" w:firstLineChars="200"/>
        <w:rPr>
          <w:rFonts w:hint="default" w:ascii="Times New Roman" w:hAnsi="Times New Roman" w:eastAsia="宋体" w:cs="Times New Roman"/>
          <w:bCs/>
          <w:sz w:val="24"/>
          <w:szCs w:val="24"/>
          <w:lang w:val="en-US" w:eastAsia="zh-CN"/>
        </w:rPr>
      </w:pPr>
      <w:r>
        <w:rPr>
          <w:rFonts w:hint="default" w:ascii="Times New Roman" w:hAnsi="Times New Roman" w:eastAsia="宋体" w:cs="Times New Roman"/>
          <w:bCs/>
          <w:sz w:val="24"/>
          <w:szCs w:val="24"/>
        </w:rPr>
        <w:t>本标准</w:t>
      </w:r>
      <w:r>
        <w:rPr>
          <w:rFonts w:hint="default" w:ascii="Times New Roman" w:hAnsi="Times New Roman" w:eastAsia="宋体" w:cs="Times New Roman"/>
          <w:bCs/>
          <w:sz w:val="24"/>
          <w:szCs w:val="24"/>
          <w:lang w:val="en-US" w:eastAsia="zh-CN"/>
        </w:rPr>
        <w:t>引用了测定肥料中尿素含量和测定双氰胺（DCD）含量这2个国际标准，分别是ISO 19746 Determination of urea content in urea-based fertilizers by high performacne liquid chromatography (HPLC)和ISO 6650 Fertilizers, soil conditioners and beneficial substances — Simultaneous determination of N-(n-Butyl) thiophosphoric triamide and dicyandiamide by high-performance liquid chromatography</w:t>
      </w:r>
      <w:r>
        <w:rPr>
          <w:rFonts w:hint="default" w:ascii="Times New Roman" w:hAnsi="Times New Roman" w:eastAsia="宋体" w:cs="Times New Roman"/>
          <w:bCs/>
          <w:sz w:val="24"/>
          <w:szCs w:val="24"/>
        </w:rPr>
        <w:t>。</w:t>
      </w:r>
      <w:r>
        <w:rPr>
          <w:rFonts w:hint="default" w:ascii="Times New Roman" w:hAnsi="Times New Roman" w:eastAsia="宋体" w:cs="Times New Roman"/>
          <w:bCs/>
          <w:sz w:val="24"/>
          <w:szCs w:val="24"/>
          <w:lang w:val="en-US" w:eastAsia="zh-CN"/>
        </w:rPr>
        <w:t>这两个标准的引用，提高了肥料中尿素含量和DCD含量的准确度和精度。</w:t>
      </w:r>
    </w:p>
    <w:p w14:paraId="0D35E4B1">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rPr>
          <w:rFonts w:hint="eastAsia" w:ascii="黑体" w:hAnsi="黑体" w:eastAsia="黑体"/>
          <w:sz w:val="28"/>
          <w:szCs w:val="21"/>
        </w:rPr>
      </w:pPr>
      <w:r>
        <w:rPr>
          <w:rFonts w:hint="eastAsia" w:ascii="黑体" w:hAnsi="黑体" w:eastAsia="黑体"/>
          <w:sz w:val="28"/>
          <w:szCs w:val="21"/>
        </w:rPr>
        <w:t>六、与有关法律、行政法规及相关标准的关系</w:t>
      </w:r>
    </w:p>
    <w:p w14:paraId="17E0AECC">
      <w:pPr>
        <w:keepLines w:val="0"/>
        <w:pageBreakBefore w:val="0"/>
        <w:wordWrap/>
        <w:overflowPunct/>
        <w:topLinePunct w:val="0"/>
        <w:bidi w:val="0"/>
        <w:spacing w:line="360" w:lineRule="auto"/>
        <w:ind w:firstLine="480" w:firstLineChars="200"/>
        <w:rPr>
          <w:rFonts w:hint="eastAsia" w:ascii="宋体" w:hAnsi="宋体" w:eastAsia="宋体" w:cs="宋体"/>
          <w:sz w:val="24"/>
          <w:szCs w:val="24"/>
          <w:lang w:eastAsia="zh-CN"/>
        </w:rPr>
      </w:pPr>
      <w:r>
        <w:rPr>
          <w:rFonts w:ascii="宋体" w:hAnsi="宋体" w:eastAsia="宋体" w:cs="宋体"/>
          <w:sz w:val="24"/>
          <w:szCs w:val="24"/>
        </w:rPr>
        <w:t>该标准的制定、发布与实施均以《中华人民共和国标准化法》为根本法律依据</w:t>
      </w:r>
      <w:r>
        <w:rPr>
          <w:rFonts w:hint="eastAsia" w:ascii="宋体" w:hAnsi="宋体" w:eastAsia="宋体" w:cs="宋体"/>
          <w:sz w:val="24"/>
          <w:szCs w:val="24"/>
          <w:lang w:eastAsia="zh-CN"/>
        </w:rPr>
        <w:t>。</w:t>
      </w:r>
      <w:r>
        <w:rPr>
          <w:rFonts w:ascii="宋体" w:hAnsi="宋体" w:eastAsia="宋体" w:cs="宋体"/>
          <w:sz w:val="24"/>
          <w:szCs w:val="24"/>
        </w:rPr>
        <w:t>标准规定的产品质量指标、标识要求等，需符合《中华人民共和国产品质量法》</w:t>
      </w:r>
      <w:r>
        <w:rPr>
          <w:rFonts w:hint="eastAsia" w:ascii="宋体" w:hAnsi="宋体" w:eastAsia="宋体" w:cs="宋体"/>
          <w:sz w:val="24"/>
          <w:szCs w:val="24"/>
          <w:lang w:eastAsia="zh-CN"/>
        </w:rPr>
        <w:t>。</w:t>
      </w:r>
      <w:r>
        <w:rPr>
          <w:rFonts w:ascii="宋体" w:hAnsi="宋体" w:eastAsia="宋体" w:cs="宋体"/>
          <w:sz w:val="24"/>
          <w:szCs w:val="24"/>
        </w:rPr>
        <w:t>稳定性肥料需先取得农业农村部肥料登记证，方可生产、经营</w:t>
      </w:r>
      <w:r>
        <w:rPr>
          <w:rFonts w:hint="eastAsia" w:ascii="宋体" w:hAnsi="宋体" w:eastAsia="宋体" w:cs="宋体"/>
          <w:sz w:val="24"/>
          <w:szCs w:val="24"/>
          <w:lang w:eastAsia="zh-CN"/>
        </w:rPr>
        <w:t>，</w:t>
      </w:r>
      <w:r>
        <w:rPr>
          <w:rFonts w:ascii="宋体" w:hAnsi="宋体" w:eastAsia="宋体" w:cs="宋体"/>
          <w:sz w:val="24"/>
          <w:szCs w:val="24"/>
        </w:rPr>
        <w:t>该标准是登记时产品技术指标、检验方法的核心依据，未登记产品不得上市</w:t>
      </w:r>
      <w:r>
        <w:rPr>
          <w:rFonts w:hint="eastAsia" w:ascii="宋体" w:hAnsi="宋体" w:eastAsia="宋体" w:cs="宋体"/>
          <w:sz w:val="24"/>
          <w:szCs w:val="24"/>
          <w:lang w:eastAsia="zh-CN"/>
        </w:rPr>
        <w:t>。</w:t>
      </w:r>
    </w:p>
    <w:p w14:paraId="12694135">
      <w:pPr>
        <w:keepLines w:val="0"/>
        <w:pageBreakBefore w:val="0"/>
        <w:wordWrap/>
        <w:overflowPunct/>
        <w:topLinePunct w:val="0"/>
        <w:bidi w:val="0"/>
        <w:spacing w:line="360" w:lineRule="auto"/>
        <w:ind w:firstLine="480" w:firstLineChars="200"/>
        <w:rPr>
          <w:rFonts w:hint="eastAsia" w:ascii="宋体" w:hAnsi="宋体" w:eastAsia="宋体" w:cs="宋体"/>
          <w:sz w:val="24"/>
          <w:szCs w:val="24"/>
          <w:lang w:eastAsia="zh-CN"/>
        </w:rPr>
      </w:pPr>
      <w:r>
        <w:rPr>
          <w:rFonts w:ascii="宋体" w:hAnsi="宋体" w:eastAsia="宋体" w:cs="宋体"/>
          <w:sz w:val="24"/>
          <w:szCs w:val="24"/>
        </w:rPr>
        <w:t>所有肥料产品必须遵守强制性国家标准（如GB 38400-2019《肥料中有毒有害物质限量》），GB/T 35113</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稳定性肥料</w:t>
      </w:r>
      <w:r>
        <w:rPr>
          <w:rFonts w:hint="eastAsia" w:ascii="宋体" w:hAnsi="宋体" w:eastAsia="宋体" w:cs="宋体"/>
          <w:sz w:val="24"/>
          <w:szCs w:val="24"/>
          <w:lang w:eastAsia="zh-CN"/>
        </w:rPr>
        <w:t>》</w:t>
      </w:r>
      <w:r>
        <w:rPr>
          <w:rFonts w:ascii="宋体" w:hAnsi="宋体" w:eastAsia="宋体" w:cs="宋体"/>
          <w:sz w:val="24"/>
          <w:szCs w:val="24"/>
        </w:rPr>
        <w:t>作为推荐性标准，其技术指标不得低于强制性标准要求。稳定性肥料标识需同时符合GB 18382-2021《肥料标识 要求和试验方法》（强制性），明确标注标准编号、抑制剂类型等信息。</w:t>
      </w:r>
      <w:r>
        <w:rPr>
          <w:rFonts w:hint="eastAsia" w:ascii="宋体" w:hAnsi="宋体" w:eastAsia="宋体" w:cs="宋体"/>
          <w:sz w:val="24"/>
          <w:szCs w:val="24"/>
        </w:rPr>
        <w:t>稳定性肥料若同时属于其他产品类别，需叠加执行对应推荐性标准（如复混肥执行GB/T 15063-2020、尿素执行GB/T 2440-2017），外包装需同时标注多标准编号。</w:t>
      </w:r>
      <w:r>
        <w:rPr>
          <w:rFonts w:ascii="宋体" w:hAnsi="宋体" w:eastAsia="宋体" w:cs="宋体"/>
          <w:sz w:val="24"/>
          <w:szCs w:val="24"/>
        </w:rPr>
        <w:t>在现行标准实施后，</w:t>
      </w:r>
      <w:r>
        <w:rPr>
          <w:rFonts w:hint="eastAsia" w:ascii="宋体" w:hAnsi="宋体" w:eastAsia="宋体" w:cs="宋体"/>
          <w:sz w:val="24"/>
          <w:szCs w:val="24"/>
          <w:lang w:val="en-US" w:eastAsia="zh-CN"/>
        </w:rPr>
        <w:t>原</w:t>
      </w:r>
      <w:r>
        <w:rPr>
          <w:rFonts w:ascii="宋体" w:hAnsi="宋体" w:eastAsia="宋体" w:cs="宋体"/>
          <w:sz w:val="24"/>
          <w:szCs w:val="24"/>
        </w:rPr>
        <w:t>GB/T 35113</w:t>
      </w:r>
      <w:r>
        <w:rPr>
          <w:rFonts w:hint="eastAsia" w:ascii="宋体" w:hAnsi="宋体" w:eastAsia="宋体" w:cs="宋体"/>
          <w:sz w:val="24"/>
          <w:szCs w:val="24"/>
          <w:lang w:val="en-US" w:eastAsia="zh-CN"/>
        </w:rPr>
        <w:t>-2017《</w:t>
      </w:r>
      <w:r>
        <w:rPr>
          <w:rFonts w:ascii="宋体" w:hAnsi="宋体" w:eastAsia="宋体" w:cs="宋体"/>
          <w:sz w:val="24"/>
          <w:szCs w:val="24"/>
        </w:rPr>
        <w:t>稳定性肥料</w:t>
      </w:r>
      <w:r>
        <w:rPr>
          <w:rFonts w:hint="eastAsia" w:ascii="宋体" w:hAnsi="宋体" w:eastAsia="宋体" w:cs="宋体"/>
          <w:sz w:val="24"/>
          <w:szCs w:val="24"/>
          <w:lang w:eastAsia="zh-CN"/>
        </w:rPr>
        <w:t>》</w:t>
      </w:r>
      <w:r>
        <w:rPr>
          <w:rFonts w:ascii="宋体" w:hAnsi="宋体" w:eastAsia="宋体" w:cs="宋体"/>
          <w:sz w:val="24"/>
          <w:szCs w:val="24"/>
        </w:rPr>
        <w:t>自动废止，企业不得再引用旧标准。</w:t>
      </w:r>
    </w:p>
    <w:p w14:paraId="11A5D780">
      <w:pPr>
        <w:keepNext w:val="0"/>
        <w:keepLines w:val="0"/>
        <w:pageBreakBefore w:val="0"/>
        <w:widowControl w:val="0"/>
        <w:numPr>
          <w:ilvl w:val="0"/>
          <w:numId w:val="11"/>
        </w:numPr>
        <w:kinsoku/>
        <w:wordWrap/>
        <w:overflowPunct/>
        <w:topLinePunct w:val="0"/>
        <w:autoSpaceDE/>
        <w:autoSpaceDN/>
        <w:bidi w:val="0"/>
        <w:adjustRightInd/>
        <w:snapToGrid/>
        <w:spacing w:before="157" w:beforeLines="50" w:line="360" w:lineRule="auto"/>
        <w:textAlignment w:val="auto"/>
        <w:rPr>
          <w:rFonts w:hint="eastAsia" w:ascii="黑体" w:hAnsi="黑体" w:eastAsia="黑体"/>
          <w:sz w:val="28"/>
          <w:szCs w:val="21"/>
        </w:rPr>
      </w:pPr>
      <w:r>
        <w:rPr>
          <w:rFonts w:hint="eastAsia" w:ascii="黑体" w:hAnsi="黑体" w:eastAsia="黑体"/>
          <w:sz w:val="28"/>
          <w:szCs w:val="21"/>
        </w:rPr>
        <w:t>重大分歧或重难点的处理经过和依据</w:t>
      </w:r>
    </w:p>
    <w:p w14:paraId="7D90352B">
      <w:pPr>
        <w:keepLines w:val="0"/>
        <w:pageBreakBefore w:val="0"/>
        <w:wordWrap/>
        <w:overflowPunct/>
        <w:topLinePunct w:val="0"/>
        <w:bidi w:val="0"/>
        <w:spacing w:line="360" w:lineRule="auto"/>
        <w:ind w:firstLine="480" w:firstLineChars="200"/>
        <w:rPr>
          <w:rFonts w:hint="eastAsia" w:ascii="黑体" w:hAnsi="黑体" w:eastAsia="黑体"/>
          <w:sz w:val="24"/>
          <w:szCs w:val="24"/>
        </w:rPr>
      </w:pPr>
      <w:r>
        <w:rPr>
          <w:rFonts w:hint="eastAsia" w:ascii="仿宋_GB2312" w:hAnsi="宋体" w:cs="仿宋_GB2312"/>
          <w:sz w:val="24"/>
          <w:szCs w:val="24"/>
        </w:rPr>
        <w:t>本标准广泛征求了有关专家、生产单位和相关部门的意见，并根据本标准制定的原则，采纳了合理的意见和建议，完善本标准的内容和结构。不同意见和分歧，根据标准制定的原则和目的协商解决。</w:t>
      </w:r>
    </w:p>
    <w:p w14:paraId="42F0251B">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rPr>
          <w:rFonts w:hint="eastAsia" w:ascii="黑体" w:hAnsi="黑体" w:eastAsia="黑体"/>
          <w:sz w:val="28"/>
          <w:szCs w:val="21"/>
        </w:rPr>
      </w:pPr>
      <w:r>
        <w:rPr>
          <w:rFonts w:hint="eastAsia" w:ascii="黑体" w:hAnsi="黑体" w:eastAsia="黑体"/>
          <w:sz w:val="28"/>
          <w:szCs w:val="21"/>
        </w:rPr>
        <w:t>八、涉及专利的有关说明</w:t>
      </w:r>
    </w:p>
    <w:p w14:paraId="101147AC">
      <w:pPr>
        <w:keepLines w:val="0"/>
        <w:pageBreakBefore w:val="0"/>
        <w:wordWrap/>
        <w:overflowPunct/>
        <w:topLinePunct w:val="0"/>
        <w:bidi w:val="0"/>
        <w:spacing w:line="360" w:lineRule="auto"/>
        <w:ind w:firstLine="480" w:firstLineChars="200"/>
        <w:rPr>
          <w:rFonts w:hint="eastAsia" w:ascii="仿宋_GB2312" w:hAnsi="宋体" w:cs="仿宋_GB2312"/>
          <w:sz w:val="24"/>
          <w:szCs w:val="24"/>
          <w:lang w:eastAsia="zh-CN"/>
        </w:rPr>
      </w:pPr>
      <w:r>
        <w:rPr>
          <w:rFonts w:hint="eastAsia" w:ascii="仿宋_GB2312" w:hAnsi="宋体" w:cs="仿宋_GB2312"/>
          <w:sz w:val="24"/>
          <w:szCs w:val="24"/>
          <w:lang w:val="en-US" w:eastAsia="zh-CN"/>
        </w:rPr>
        <w:t>无。</w:t>
      </w:r>
    </w:p>
    <w:p w14:paraId="02B10000">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rPr>
          <w:rFonts w:hint="eastAsia" w:ascii="黑体" w:hAnsi="黑体" w:eastAsia="黑体"/>
          <w:sz w:val="28"/>
          <w:szCs w:val="21"/>
        </w:rPr>
      </w:pPr>
      <w:r>
        <w:rPr>
          <w:rFonts w:hint="eastAsia" w:ascii="黑体" w:hAnsi="黑体" w:eastAsia="黑体"/>
          <w:sz w:val="28"/>
          <w:szCs w:val="21"/>
        </w:rPr>
        <w:t>九、实施国家标准的要求，以及组织措施、技术措施、过渡期和实施日期的建议等措施建议</w:t>
      </w:r>
    </w:p>
    <w:p w14:paraId="776DF11B">
      <w:pPr>
        <w:keepLines w:val="0"/>
        <w:pageBreakBefore w:val="0"/>
        <w:wordWrap/>
        <w:overflowPunct/>
        <w:topLinePunct w:val="0"/>
        <w:bidi w:val="0"/>
        <w:spacing w:line="360" w:lineRule="auto"/>
        <w:ind w:firstLine="480" w:firstLineChars="200"/>
        <w:rPr>
          <w:rFonts w:hint="eastAsia" w:ascii="仿宋_GB2312" w:hAnsi="宋体" w:cs="仿宋_GB2312"/>
          <w:sz w:val="24"/>
          <w:szCs w:val="24"/>
          <w:lang w:val="en-US" w:eastAsia="zh-CN"/>
        </w:rPr>
      </w:pPr>
      <w:r>
        <w:rPr>
          <w:rFonts w:hint="eastAsia" w:ascii="仿宋_GB2312" w:hAnsi="宋体" w:cs="仿宋_GB2312"/>
          <w:sz w:val="24"/>
          <w:szCs w:val="24"/>
          <w:lang w:val="en-US" w:eastAsia="zh-CN"/>
        </w:rPr>
        <w:t>无。</w:t>
      </w:r>
    </w:p>
    <w:p w14:paraId="3DC3AA07">
      <w:pPr>
        <w:keepLines w:val="0"/>
        <w:pageBreakBefore w:val="0"/>
        <w:wordWrap/>
        <w:overflowPunct/>
        <w:topLinePunct w:val="0"/>
        <w:bidi w:val="0"/>
        <w:spacing w:line="360" w:lineRule="auto"/>
        <w:rPr>
          <w:rFonts w:ascii="黑体" w:hAnsi="黑体" w:eastAsia="黑体"/>
          <w:sz w:val="28"/>
          <w:szCs w:val="21"/>
        </w:rPr>
      </w:pPr>
      <w:r>
        <w:rPr>
          <w:rFonts w:hint="eastAsia" w:ascii="黑体" w:hAnsi="黑体" w:eastAsia="黑体"/>
          <w:sz w:val="28"/>
          <w:szCs w:val="21"/>
          <w:lang w:val="en-US" w:eastAsia="zh-CN"/>
        </w:rPr>
        <w:t>十</w:t>
      </w:r>
      <w:r>
        <w:rPr>
          <w:rFonts w:hint="eastAsia" w:ascii="黑体" w:hAnsi="黑体" w:eastAsia="黑体"/>
          <w:sz w:val="28"/>
          <w:szCs w:val="21"/>
        </w:rPr>
        <w:t>、其它应说明的事项</w:t>
      </w:r>
    </w:p>
    <w:p w14:paraId="45A68229">
      <w:pPr>
        <w:keepLines w:val="0"/>
        <w:pageBreakBefore w:val="0"/>
        <w:wordWrap/>
        <w:overflowPunct/>
        <w:topLinePunct w:val="0"/>
        <w:bidi w:val="0"/>
        <w:spacing w:line="360" w:lineRule="auto"/>
        <w:ind w:firstLine="480" w:firstLineChars="200"/>
        <w:rPr>
          <w:rFonts w:hint="eastAsia" w:ascii="仿宋_GB2312" w:hAnsi="宋体" w:cs="仿宋_GB2312"/>
          <w:sz w:val="24"/>
          <w:szCs w:val="24"/>
          <w:lang w:val="en-US" w:eastAsia="zh-CN"/>
        </w:rPr>
      </w:pPr>
      <w:r>
        <w:rPr>
          <w:rFonts w:hint="eastAsia" w:ascii="仿宋_GB2312" w:hAnsi="宋体" w:cs="仿宋_GB2312"/>
          <w:sz w:val="24"/>
          <w:szCs w:val="24"/>
          <w:lang w:val="en-US" w:eastAsia="zh-CN"/>
        </w:rPr>
        <w:t>无。</w:t>
      </w:r>
    </w:p>
    <w:p w14:paraId="0DDF647A">
      <w:pPr>
        <w:keepLines w:val="0"/>
        <w:pageBreakBefore w:val="0"/>
        <w:wordWrap/>
        <w:overflowPunct/>
        <w:topLinePunct w:val="0"/>
        <w:bidi w:val="0"/>
        <w:spacing w:line="360" w:lineRule="auto"/>
        <w:ind w:firstLine="420" w:firstLineChars="200"/>
        <w:rPr>
          <w:rFonts w:ascii="Times New Roman" w:hAnsi="Times New Roman" w:eastAsia="宋体" w:cs="Times New Roman"/>
          <w:bCs/>
        </w:rPr>
      </w:pPr>
    </w:p>
    <w:p w14:paraId="7E215E93">
      <w:pPr>
        <w:keepLines w:val="0"/>
        <w:pageBreakBefore w:val="0"/>
        <w:numPr>
          <w:ilvl w:val="0"/>
          <w:numId w:val="0"/>
        </w:numPr>
        <w:wordWrap/>
        <w:overflowPunct/>
        <w:topLinePunct w:val="0"/>
        <w:bidi w:val="0"/>
        <w:spacing w:line="360" w:lineRule="auto"/>
        <w:ind w:firstLine="420" w:firstLineChars="200"/>
        <w:rPr>
          <w:rFonts w:hint="eastAsia" w:ascii="Times New Roman" w:hAnsi="Times New Roman" w:eastAsia="宋体" w:cs="Times New Roman"/>
          <w:bCs/>
        </w:rPr>
      </w:pPr>
    </w:p>
    <w:p w14:paraId="3069CD31">
      <w:pPr>
        <w:keepLines w:val="0"/>
        <w:pageBreakBefore w:val="0"/>
        <w:wordWrap/>
        <w:overflowPunct/>
        <w:topLinePunct w:val="0"/>
        <w:bidi w:val="0"/>
        <w:spacing w:line="360" w:lineRule="auto"/>
        <w:rPr>
          <w:rFonts w:hint="default" w:ascii="Times New Roman" w:hAnsi="Times New Roman" w:eastAsia="宋体" w:cs="Times New Roman"/>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Segoe UI Emoji">
    <w:panose1 w:val="020B0502040204020203"/>
    <w:charset w:val="00"/>
    <w:family w:val="auto"/>
    <w:pitch w:val="default"/>
    <w:sig w:usb0="00000001" w:usb1="02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E98A8A"/>
    <w:multiLevelType w:val="singleLevel"/>
    <w:tmpl w:val="E9E98A8A"/>
    <w:lvl w:ilvl="0" w:tentative="0">
      <w:start w:val="7"/>
      <w:numFmt w:val="chineseCounting"/>
      <w:suff w:val="nothing"/>
      <w:lvlText w:val="%1、"/>
      <w:lvlJc w:val="left"/>
      <w:rPr>
        <w:rFonts w:hint="eastAsia"/>
      </w:rPr>
    </w:lvl>
  </w:abstractNum>
  <w:abstractNum w:abstractNumId="1">
    <w:nsid w:val="079102AD"/>
    <w:multiLevelType w:val="multilevel"/>
    <w:tmpl w:val="079102AD"/>
    <w:lvl w:ilvl="0" w:tentative="0">
      <w:start w:val="1"/>
      <w:numFmt w:val="decimal"/>
      <w:pStyle w:val="16"/>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0A78E5DD"/>
    <w:multiLevelType w:val="singleLevel"/>
    <w:tmpl w:val="0A78E5DD"/>
    <w:lvl w:ilvl="0" w:tentative="0">
      <w:start w:val="8"/>
      <w:numFmt w:val="decimal"/>
      <w:suff w:val="nothing"/>
      <w:lvlText w:val="%1　"/>
      <w:lvlJc w:val="left"/>
    </w:lvl>
  </w:abstractNum>
  <w:abstractNum w:abstractNumId="3">
    <w:nsid w:val="1BAE0F95"/>
    <w:multiLevelType w:val="multilevel"/>
    <w:tmpl w:val="1BAE0F9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C5917C3"/>
    <w:multiLevelType w:val="multilevel"/>
    <w:tmpl w:val="2C5917C3"/>
    <w:lvl w:ilvl="0" w:tentative="0">
      <w:start w:val="1"/>
      <w:numFmt w:val="none"/>
      <w:pStyle w:val="23"/>
      <w:lvlText w:val="%1——"/>
      <w:lvlJc w:val="left"/>
      <w:pPr>
        <w:tabs>
          <w:tab w:val="left" w:pos="851"/>
        </w:tabs>
        <w:ind w:left="851" w:hanging="426"/>
      </w:pPr>
      <w:rPr>
        <w:rFonts w:hint="eastAsia" w:ascii="宋体" w:hAnsi="Times New Roman" w:eastAsia="宋体"/>
        <w:b w:val="0"/>
        <w:i w:val="0"/>
        <w:sz w:val="21"/>
      </w:rPr>
    </w:lvl>
    <w:lvl w:ilvl="1" w:tentative="0">
      <w:start w:val="1"/>
      <w:numFmt w:val="none"/>
      <w:lvlText w:val=""/>
      <w:lvlJc w:val="left"/>
      <w:pPr>
        <w:ind w:left="851" w:hanging="431"/>
      </w:pPr>
      <w:rPr>
        <w:rFonts w:hint="default" w:ascii="Symbol" w:hAnsi="Symbol"/>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5">
    <w:nsid w:val="60054257"/>
    <w:multiLevelType w:val="singleLevel"/>
    <w:tmpl w:val="60054257"/>
    <w:lvl w:ilvl="0" w:tentative="0">
      <w:start w:val="2"/>
      <w:numFmt w:val="decimal"/>
      <w:suff w:val="nothing"/>
      <w:lvlText w:val="（%1）"/>
      <w:lvlJc w:val="left"/>
    </w:lvl>
  </w:abstractNum>
  <w:abstractNum w:abstractNumId="6">
    <w:nsid w:val="646260FA"/>
    <w:multiLevelType w:val="multilevel"/>
    <w:tmpl w:val="646260FA"/>
    <w:lvl w:ilvl="0" w:tentative="0">
      <w:start w:val="1"/>
      <w:numFmt w:val="decimal"/>
      <w:pStyle w:val="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6A5419DF"/>
    <w:multiLevelType w:val="singleLevel"/>
    <w:tmpl w:val="6A5419DF"/>
    <w:lvl w:ilvl="0" w:tentative="0">
      <w:start w:val="5"/>
      <w:numFmt w:val="decimal"/>
      <w:suff w:val="nothing"/>
      <w:lvlText w:val="%1　"/>
      <w:lvlJc w:val="left"/>
    </w:lvl>
  </w:abstractNum>
  <w:abstractNum w:abstractNumId="8">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9"/>
      <w:suff w:val="nothing"/>
      <w:lvlText w:val="%1%2　"/>
      <w:lvlJc w:val="left"/>
      <w:pPr>
        <w:ind w:left="0" w:firstLine="0"/>
      </w:pPr>
      <w:rPr>
        <w:rFonts w:hint="eastAsia" w:ascii="黑体" w:eastAsia="黑体"/>
        <w:b w:val="0"/>
        <w:i w:val="0"/>
        <w:sz w:val="21"/>
      </w:rPr>
    </w:lvl>
    <w:lvl w:ilvl="2" w:tentative="0">
      <w:start w:val="1"/>
      <w:numFmt w:val="decimal"/>
      <w:pStyle w:val="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9"/>
      <w:suff w:val="nothing"/>
      <w:lvlText w:val="%1%2.%3.%4　"/>
      <w:lvlJc w:val="left"/>
      <w:pPr>
        <w:ind w:left="0" w:firstLine="0"/>
      </w:pPr>
      <w:rPr>
        <w:rFonts w:hint="eastAsia" w:ascii="黑体" w:eastAsia="黑体"/>
        <w:b w:val="0"/>
        <w:i w:val="0"/>
        <w:sz w:val="21"/>
      </w:rPr>
    </w:lvl>
    <w:lvl w:ilvl="4" w:tentative="0">
      <w:start w:val="1"/>
      <w:numFmt w:val="decimal"/>
      <w:pStyle w:val="21"/>
      <w:suff w:val="nothing"/>
      <w:lvlText w:val="%1%2.%3.%4.%5　"/>
      <w:lvlJc w:val="left"/>
      <w:pPr>
        <w:ind w:left="0" w:firstLine="0"/>
      </w:pPr>
      <w:rPr>
        <w:rFonts w:hint="eastAsia" w:ascii="黑体" w:eastAsia="黑体"/>
        <w:b w:val="0"/>
        <w:i w:val="0"/>
        <w:sz w:val="21"/>
      </w:rPr>
    </w:lvl>
    <w:lvl w:ilvl="5" w:tentative="0">
      <w:start w:val="1"/>
      <w:numFmt w:val="decimal"/>
      <w:pStyle w:val="22"/>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6DA91568"/>
    <w:multiLevelType w:val="singleLevel"/>
    <w:tmpl w:val="6DA91568"/>
    <w:lvl w:ilvl="0" w:tentative="0">
      <w:start w:val="7"/>
      <w:numFmt w:val="decimal"/>
      <w:suff w:val="nothing"/>
      <w:lvlText w:val="（%1）"/>
      <w:lvlJc w:val="left"/>
    </w:lvl>
  </w:abstractNum>
  <w:abstractNum w:abstractNumId="10">
    <w:nsid w:val="6DBF04F4"/>
    <w:multiLevelType w:val="multilevel"/>
    <w:tmpl w:val="6DBF04F4"/>
    <w:lvl w:ilvl="0" w:tentative="0">
      <w:start w:val="1"/>
      <w:numFmt w:val="none"/>
      <w:pStyle w:val="17"/>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8"/>
  </w:num>
  <w:num w:numId="2">
    <w:abstractNumId w:val="6"/>
  </w:num>
  <w:num w:numId="3">
    <w:abstractNumId w:val="1"/>
  </w:num>
  <w:num w:numId="4">
    <w:abstractNumId w:val="10"/>
  </w:num>
  <w:num w:numId="5">
    <w:abstractNumId w:val="4"/>
  </w:num>
  <w:num w:numId="6">
    <w:abstractNumId w:val="7"/>
  </w:num>
  <w:num w:numId="7">
    <w:abstractNumId w:val="2"/>
  </w:num>
  <w:num w:numId="8">
    <w:abstractNumId w:val="9"/>
  </w:num>
  <w:num w:numId="9">
    <w:abstractNumId w:val="5"/>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A569C"/>
    <w:rsid w:val="00A8354E"/>
    <w:rsid w:val="020F1F61"/>
    <w:rsid w:val="02960869"/>
    <w:rsid w:val="02E1776D"/>
    <w:rsid w:val="04FC43EA"/>
    <w:rsid w:val="051522F5"/>
    <w:rsid w:val="054D10EA"/>
    <w:rsid w:val="05622109"/>
    <w:rsid w:val="062F259D"/>
    <w:rsid w:val="067D3DB5"/>
    <w:rsid w:val="074D785E"/>
    <w:rsid w:val="089D2CA0"/>
    <w:rsid w:val="09265ED9"/>
    <w:rsid w:val="093B7E06"/>
    <w:rsid w:val="09F6786B"/>
    <w:rsid w:val="0AC459AA"/>
    <w:rsid w:val="0B660093"/>
    <w:rsid w:val="0B7F70CE"/>
    <w:rsid w:val="0C562B94"/>
    <w:rsid w:val="0C7B1C07"/>
    <w:rsid w:val="0CC26100"/>
    <w:rsid w:val="0CF62067"/>
    <w:rsid w:val="0D952CD1"/>
    <w:rsid w:val="0EC15FF0"/>
    <w:rsid w:val="0F361F2E"/>
    <w:rsid w:val="10A67900"/>
    <w:rsid w:val="10B4760D"/>
    <w:rsid w:val="11BD593F"/>
    <w:rsid w:val="12714037"/>
    <w:rsid w:val="12CC3B85"/>
    <w:rsid w:val="12D12E64"/>
    <w:rsid w:val="13286CF2"/>
    <w:rsid w:val="13A95E36"/>
    <w:rsid w:val="13FA77BD"/>
    <w:rsid w:val="14740441"/>
    <w:rsid w:val="14C90F0F"/>
    <w:rsid w:val="15200185"/>
    <w:rsid w:val="15207E98"/>
    <w:rsid w:val="15311E8E"/>
    <w:rsid w:val="17623518"/>
    <w:rsid w:val="183A72AB"/>
    <w:rsid w:val="18C32D85"/>
    <w:rsid w:val="19B92850"/>
    <w:rsid w:val="19C332D1"/>
    <w:rsid w:val="19E219A9"/>
    <w:rsid w:val="1A12618D"/>
    <w:rsid w:val="1A416497"/>
    <w:rsid w:val="1A9165C8"/>
    <w:rsid w:val="1AC06E9B"/>
    <w:rsid w:val="1BCD7C8C"/>
    <w:rsid w:val="1C224618"/>
    <w:rsid w:val="1C8979E6"/>
    <w:rsid w:val="1D8A4EDF"/>
    <w:rsid w:val="1DF73A09"/>
    <w:rsid w:val="1E051E78"/>
    <w:rsid w:val="1E29616C"/>
    <w:rsid w:val="1E62130A"/>
    <w:rsid w:val="1FC474BC"/>
    <w:rsid w:val="209334BC"/>
    <w:rsid w:val="20EB305C"/>
    <w:rsid w:val="211803A6"/>
    <w:rsid w:val="214473ED"/>
    <w:rsid w:val="21460A2B"/>
    <w:rsid w:val="21D66379"/>
    <w:rsid w:val="22C76B98"/>
    <w:rsid w:val="230F0B80"/>
    <w:rsid w:val="242E1C8E"/>
    <w:rsid w:val="24457704"/>
    <w:rsid w:val="25714529"/>
    <w:rsid w:val="25787665"/>
    <w:rsid w:val="258A2306"/>
    <w:rsid w:val="25DD396C"/>
    <w:rsid w:val="2609650F"/>
    <w:rsid w:val="262833B5"/>
    <w:rsid w:val="27374148"/>
    <w:rsid w:val="281169CD"/>
    <w:rsid w:val="28333D17"/>
    <w:rsid w:val="28577BDB"/>
    <w:rsid w:val="287574EE"/>
    <w:rsid w:val="28993431"/>
    <w:rsid w:val="292E2DFD"/>
    <w:rsid w:val="294429D3"/>
    <w:rsid w:val="29967EF1"/>
    <w:rsid w:val="2AA50B1D"/>
    <w:rsid w:val="2B2F4C6A"/>
    <w:rsid w:val="2B6366C1"/>
    <w:rsid w:val="2C2117B3"/>
    <w:rsid w:val="2CE13D42"/>
    <w:rsid w:val="2CE20317"/>
    <w:rsid w:val="2CE364B6"/>
    <w:rsid w:val="2CE41F2E"/>
    <w:rsid w:val="2E13617D"/>
    <w:rsid w:val="2E923A2C"/>
    <w:rsid w:val="2EFE6E2D"/>
    <w:rsid w:val="2F6D7370"/>
    <w:rsid w:val="2FBE4C03"/>
    <w:rsid w:val="2FC843F6"/>
    <w:rsid w:val="30186FC0"/>
    <w:rsid w:val="30B33C47"/>
    <w:rsid w:val="3163376C"/>
    <w:rsid w:val="31C003CA"/>
    <w:rsid w:val="322841C1"/>
    <w:rsid w:val="322D2553"/>
    <w:rsid w:val="32EC51EE"/>
    <w:rsid w:val="33225566"/>
    <w:rsid w:val="336E3E55"/>
    <w:rsid w:val="34E90C97"/>
    <w:rsid w:val="36401646"/>
    <w:rsid w:val="365F4435"/>
    <w:rsid w:val="367E2601"/>
    <w:rsid w:val="36920CFB"/>
    <w:rsid w:val="36E54A0E"/>
    <w:rsid w:val="36E903C3"/>
    <w:rsid w:val="36EC7EB3"/>
    <w:rsid w:val="374C5A04"/>
    <w:rsid w:val="37A10888"/>
    <w:rsid w:val="37FC2378"/>
    <w:rsid w:val="38AE7774"/>
    <w:rsid w:val="39C92A6D"/>
    <w:rsid w:val="3A02623F"/>
    <w:rsid w:val="3A156792"/>
    <w:rsid w:val="3AA12D62"/>
    <w:rsid w:val="3D4445A5"/>
    <w:rsid w:val="3D6302B5"/>
    <w:rsid w:val="3E7E2CA4"/>
    <w:rsid w:val="3EC5426F"/>
    <w:rsid w:val="3F066526"/>
    <w:rsid w:val="3F332A95"/>
    <w:rsid w:val="3FC55C17"/>
    <w:rsid w:val="3FCC0881"/>
    <w:rsid w:val="407C03C3"/>
    <w:rsid w:val="40833D46"/>
    <w:rsid w:val="41546D80"/>
    <w:rsid w:val="42BC4BDD"/>
    <w:rsid w:val="42F528F0"/>
    <w:rsid w:val="43087E22"/>
    <w:rsid w:val="435F1B05"/>
    <w:rsid w:val="43A45F32"/>
    <w:rsid w:val="454B2248"/>
    <w:rsid w:val="4568104C"/>
    <w:rsid w:val="45A2455E"/>
    <w:rsid w:val="46881AE7"/>
    <w:rsid w:val="468C2B19"/>
    <w:rsid w:val="46F67080"/>
    <w:rsid w:val="47356D0C"/>
    <w:rsid w:val="47513C75"/>
    <w:rsid w:val="47CB141F"/>
    <w:rsid w:val="48D8709A"/>
    <w:rsid w:val="4AA76173"/>
    <w:rsid w:val="4AE63AE3"/>
    <w:rsid w:val="4BBC79FC"/>
    <w:rsid w:val="4C080E93"/>
    <w:rsid w:val="4C453CFD"/>
    <w:rsid w:val="4C7E763B"/>
    <w:rsid w:val="4CC96874"/>
    <w:rsid w:val="4D292E6F"/>
    <w:rsid w:val="4D476FA5"/>
    <w:rsid w:val="4EC24C5B"/>
    <w:rsid w:val="4F7A2EBB"/>
    <w:rsid w:val="503C3162"/>
    <w:rsid w:val="503E7A9E"/>
    <w:rsid w:val="508E6E5A"/>
    <w:rsid w:val="513B4A8D"/>
    <w:rsid w:val="51765444"/>
    <w:rsid w:val="523F1387"/>
    <w:rsid w:val="524C7942"/>
    <w:rsid w:val="52812104"/>
    <w:rsid w:val="53605308"/>
    <w:rsid w:val="5391095C"/>
    <w:rsid w:val="53AE40CE"/>
    <w:rsid w:val="541F2BA8"/>
    <w:rsid w:val="548D1411"/>
    <w:rsid w:val="55DF5177"/>
    <w:rsid w:val="562B7C58"/>
    <w:rsid w:val="56334D5F"/>
    <w:rsid w:val="564B02FA"/>
    <w:rsid w:val="58076362"/>
    <w:rsid w:val="58321C94"/>
    <w:rsid w:val="585221EC"/>
    <w:rsid w:val="5A170DC8"/>
    <w:rsid w:val="5A3B68D8"/>
    <w:rsid w:val="5B424BAE"/>
    <w:rsid w:val="5B5E5947"/>
    <w:rsid w:val="5B6B2903"/>
    <w:rsid w:val="5CE23BEF"/>
    <w:rsid w:val="5CE24DE9"/>
    <w:rsid w:val="5DA74D84"/>
    <w:rsid w:val="5DCB1D21"/>
    <w:rsid w:val="5F062F47"/>
    <w:rsid w:val="5F592F2B"/>
    <w:rsid w:val="5FF71F73"/>
    <w:rsid w:val="61D62737"/>
    <w:rsid w:val="61EF7FBC"/>
    <w:rsid w:val="62D66633"/>
    <w:rsid w:val="63B647DE"/>
    <w:rsid w:val="64606A68"/>
    <w:rsid w:val="646627A3"/>
    <w:rsid w:val="66324D94"/>
    <w:rsid w:val="66410DD2"/>
    <w:rsid w:val="66DC126B"/>
    <w:rsid w:val="66EE60F7"/>
    <w:rsid w:val="67650AF0"/>
    <w:rsid w:val="67D57A24"/>
    <w:rsid w:val="67F53D6F"/>
    <w:rsid w:val="68AA5354"/>
    <w:rsid w:val="68AD092E"/>
    <w:rsid w:val="6A0144F4"/>
    <w:rsid w:val="6A0E546F"/>
    <w:rsid w:val="6AA10091"/>
    <w:rsid w:val="6C2D5504"/>
    <w:rsid w:val="6C5C4BB7"/>
    <w:rsid w:val="6D01750D"/>
    <w:rsid w:val="6E222454"/>
    <w:rsid w:val="6EE57EF8"/>
    <w:rsid w:val="6F7E0666"/>
    <w:rsid w:val="70187047"/>
    <w:rsid w:val="70EC5DDE"/>
    <w:rsid w:val="71080E69"/>
    <w:rsid w:val="715E0A8A"/>
    <w:rsid w:val="718C5BDC"/>
    <w:rsid w:val="71945980"/>
    <w:rsid w:val="72E41463"/>
    <w:rsid w:val="72EC6569"/>
    <w:rsid w:val="73D634A1"/>
    <w:rsid w:val="73F0126A"/>
    <w:rsid w:val="74581FAA"/>
    <w:rsid w:val="748B6945"/>
    <w:rsid w:val="75812F99"/>
    <w:rsid w:val="75FD6B7C"/>
    <w:rsid w:val="76966F18"/>
    <w:rsid w:val="77067C55"/>
    <w:rsid w:val="77511D71"/>
    <w:rsid w:val="77CE4AAF"/>
    <w:rsid w:val="787119EB"/>
    <w:rsid w:val="78D6184E"/>
    <w:rsid w:val="796E7CD8"/>
    <w:rsid w:val="79D700E1"/>
    <w:rsid w:val="79EA42F5"/>
    <w:rsid w:val="7A467C66"/>
    <w:rsid w:val="7A5A3091"/>
    <w:rsid w:val="7A9C2AFA"/>
    <w:rsid w:val="7BA22DD1"/>
    <w:rsid w:val="7BB5399C"/>
    <w:rsid w:val="7BB7249D"/>
    <w:rsid w:val="7BEE654A"/>
    <w:rsid w:val="7CAD6AB6"/>
    <w:rsid w:val="7CD51E1C"/>
    <w:rsid w:val="7DC052BE"/>
    <w:rsid w:val="7FA44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Strong"/>
    <w:basedOn w:val="4"/>
    <w:qFormat/>
    <w:uiPriority w:val="0"/>
    <w:rPr>
      <w:b/>
    </w:rPr>
  </w:style>
  <w:style w:type="paragraph" w:customStyle="1" w:styleId="6">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7">
    <w:name w:val="标准文件_一级无标题"/>
    <w:basedOn w:val="8"/>
    <w:autoRedefine/>
    <w:qFormat/>
    <w:uiPriority w:val="0"/>
    <w:pPr>
      <w:spacing w:before="0" w:beforeLines="0" w:after="0" w:afterLines="0"/>
      <w:outlineLvl w:val="9"/>
    </w:pPr>
    <w:rPr>
      <w:rFonts w:ascii="宋体" w:eastAsia="宋体"/>
    </w:rPr>
  </w:style>
  <w:style w:type="paragraph" w:customStyle="1" w:styleId="8">
    <w:name w:val="标准文件_一级条标题"/>
    <w:basedOn w:val="9"/>
    <w:next w:val="6"/>
    <w:autoRedefine/>
    <w:qFormat/>
    <w:uiPriority w:val="0"/>
    <w:pPr>
      <w:numPr>
        <w:ilvl w:val="2"/>
      </w:numPr>
      <w:spacing w:before="50" w:beforeLines="50" w:after="50" w:afterLines="50"/>
      <w:outlineLvl w:val="1"/>
    </w:pPr>
  </w:style>
  <w:style w:type="paragraph" w:customStyle="1" w:styleId="9">
    <w:name w:val="标准文件_章标题"/>
    <w:next w:val="6"/>
    <w:autoRedefine/>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
    <w:name w:val="标准文件_术语条一"/>
    <w:basedOn w:val="7"/>
    <w:next w:val="6"/>
    <w:autoRedefine/>
    <w:qFormat/>
    <w:uiPriority w:val="0"/>
  </w:style>
  <w:style w:type="paragraph" w:customStyle="1" w:styleId="11">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2">
    <w:name w:val="标准文件_正文表标题"/>
    <w:next w:val="6"/>
    <w:autoRedefine/>
    <w:qFormat/>
    <w:uiPriority w:val="0"/>
    <w:pPr>
      <w:numPr>
        <w:ilvl w:val="0"/>
        <w:numId w:val="2"/>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styleId="1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4">
    <w:name w:val="font31"/>
    <w:basedOn w:val="4"/>
    <w:qFormat/>
    <w:uiPriority w:val="0"/>
    <w:rPr>
      <w:rFonts w:hint="eastAsia" w:ascii="宋体" w:hAnsi="宋体" w:eastAsia="宋体" w:cs="宋体"/>
      <w:color w:val="000000"/>
      <w:sz w:val="24"/>
      <w:szCs w:val="24"/>
      <w:u w:val="none"/>
    </w:rPr>
  </w:style>
  <w:style w:type="paragraph" w:styleId="15">
    <w:name w:val="List Paragraph"/>
    <w:basedOn w:val="1"/>
    <w:qFormat/>
    <w:uiPriority w:val="34"/>
    <w:pPr>
      <w:ind w:firstLine="420" w:firstLineChars="200"/>
    </w:pPr>
  </w:style>
  <w:style w:type="paragraph" w:customStyle="1" w:styleId="16">
    <w:name w:val="标准文件_注×："/>
    <w:qFormat/>
    <w:uiPriority w:val="0"/>
    <w:pPr>
      <w:widowControl w:val="0"/>
      <w:numPr>
        <w:ilvl w:val="0"/>
        <w:numId w:val="3"/>
      </w:numPr>
      <w:autoSpaceDE w:val="0"/>
      <w:autoSpaceDN w:val="0"/>
      <w:jc w:val="both"/>
    </w:pPr>
    <w:rPr>
      <w:rFonts w:ascii="宋体" w:hAnsi="Times New Roman" w:eastAsia="宋体" w:cs="Times New Roman"/>
      <w:sz w:val="18"/>
      <w:szCs w:val="18"/>
      <w:lang w:val="en-US" w:eastAsia="zh-CN" w:bidi="ar-SA"/>
    </w:rPr>
  </w:style>
  <w:style w:type="paragraph" w:customStyle="1" w:styleId="17">
    <w:name w:val="标准文件_注："/>
    <w:next w:val="6"/>
    <w:qFormat/>
    <w:uiPriority w:val="0"/>
    <w:pPr>
      <w:widowControl w:val="0"/>
      <w:numPr>
        <w:ilvl w:val="0"/>
        <w:numId w:val="4"/>
      </w:numPr>
      <w:autoSpaceDE w:val="0"/>
      <w:autoSpaceDN w:val="0"/>
      <w:jc w:val="both"/>
    </w:pPr>
    <w:rPr>
      <w:rFonts w:ascii="宋体" w:hAnsi="Times New Roman" w:eastAsia="宋体" w:cs="Times New Roman"/>
      <w:sz w:val="18"/>
      <w:szCs w:val="18"/>
      <w:lang w:val="en-US" w:eastAsia="zh-CN" w:bidi="ar-SA"/>
    </w:rPr>
  </w:style>
  <w:style w:type="paragraph" w:customStyle="1" w:styleId="18">
    <w:name w:val="标准文件_表格"/>
    <w:basedOn w:val="6"/>
    <w:qFormat/>
    <w:uiPriority w:val="0"/>
    <w:pPr>
      <w:ind w:firstLine="0" w:firstLineChars="0"/>
      <w:jc w:val="center"/>
    </w:pPr>
    <w:rPr>
      <w:sz w:val="18"/>
    </w:rPr>
  </w:style>
  <w:style w:type="paragraph" w:customStyle="1" w:styleId="19">
    <w:name w:val="标准文件_二级条标题"/>
    <w:next w:val="6"/>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20">
    <w:name w:val="标准文件_三级无标题"/>
    <w:basedOn w:val="21"/>
    <w:qFormat/>
    <w:uiPriority w:val="0"/>
    <w:pPr>
      <w:spacing w:before="0" w:beforeLines="0" w:after="0" w:afterLines="0"/>
      <w:outlineLvl w:val="9"/>
    </w:pPr>
    <w:rPr>
      <w:rFonts w:ascii="宋体" w:eastAsia="宋体"/>
    </w:rPr>
  </w:style>
  <w:style w:type="paragraph" w:customStyle="1" w:styleId="21">
    <w:name w:val="标准文件_三级条标题"/>
    <w:basedOn w:val="19"/>
    <w:next w:val="6"/>
    <w:qFormat/>
    <w:uiPriority w:val="0"/>
    <w:pPr>
      <w:widowControl/>
      <w:numPr>
        <w:ilvl w:val="4"/>
      </w:numPr>
      <w:outlineLvl w:val="3"/>
    </w:pPr>
  </w:style>
  <w:style w:type="paragraph" w:customStyle="1" w:styleId="22">
    <w:name w:val="标准文件_四级条标题"/>
    <w:next w:val="6"/>
    <w:qFormat/>
    <w:uiPriority w:val="0"/>
    <w:pPr>
      <w:widowControl w:val="0"/>
      <w:numPr>
        <w:ilvl w:val="5"/>
        <w:numId w:val="1"/>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23">
    <w:name w:val="标准文件_一级项"/>
    <w:qFormat/>
    <w:uiPriority w:val="0"/>
    <w:pPr>
      <w:numPr>
        <w:ilvl w:val="0"/>
        <w:numId w:val="5"/>
      </w:numPr>
    </w:pPr>
    <w:rPr>
      <w:rFonts w:ascii="宋体" w:hAnsi="Times New Roman" w:eastAsia="宋体" w:cs="Times New Roman"/>
      <w:sz w:val="21"/>
      <w:lang w:val="en-US" w:eastAsia="zh-CN" w:bidi="ar-SA"/>
    </w:rPr>
  </w:style>
  <w:style w:type="paragraph" w:customStyle="1" w:styleId="24">
    <w:name w:val="标准文件_二级无标题"/>
    <w:basedOn w:val="19"/>
    <w:qFormat/>
    <w:uiPriority w:val="0"/>
    <w:pPr>
      <w:spacing w:before="0" w:beforeLines="0" w:after="0" w:afterLines="0"/>
      <w:outlineLvl w:val="9"/>
    </w:pPr>
    <w:rPr>
      <w:rFonts w:ascii="宋体" w:eastAsia="宋体"/>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60</Pages>
  <Words>11596</Words>
  <Characters>14634</Characters>
  <Lines>0</Lines>
  <Paragraphs>0</Paragraphs>
  <TotalTime>2</TotalTime>
  <ScaleCrop>false</ScaleCrop>
  <LinksUpToDate>false</LinksUpToDate>
  <CharactersWithSpaces>15337</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2026-04-08T08:19:00Z</dcterms:created>
  <dc:creator>Administrator</dc:creator>
  <cp:lastModifiedBy>张蕾</cp:lastModifiedBy>
  <dcterms:modified xsi:type="dcterms:W3CDTF">2026-09-09T11:11:38Z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eyJoZGlkIjoiZWNhM2U4YzE4YmZiOGI3ZDllN2JmY2M4NDFlMGQwYTEiLCJ1c2VySWQiOiI0NjcxOTUxMjYifQ==</vt:lpwstr>
  </property>
  <property fmtid="{D5CDD505-2E9C-101B-9397-08002B2CF9AE}" pid="4" name="ICV">
    <vt:lpwstr>CDA96B8138514C5892F1E65615A75EF1_12</vt:lpwstr>
  </property>
</Properties>
</file>